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51FC6" w14:textId="6FD1B04B"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B24945">
        <w:rPr>
          <w:rFonts w:cs="Arial"/>
          <w:sz w:val="24"/>
          <w:szCs w:val="24"/>
        </w:rPr>
        <w:t>1</w:t>
      </w:r>
      <w:r w:rsidR="00E25B5D">
        <w:rPr>
          <w:rFonts w:cs="Arial"/>
          <w:sz w:val="24"/>
          <w:szCs w:val="24"/>
        </w:rPr>
        <w:t>6</w:t>
      </w:r>
      <w:r w:rsidRPr="00207615">
        <w:rPr>
          <w:rFonts w:cs="Arial"/>
          <w:sz w:val="24"/>
          <w:szCs w:val="24"/>
        </w:rPr>
        <w:tab/>
      </w:r>
      <w:r w:rsidR="00C60DF4" w:rsidRPr="00C60DF4">
        <w:rPr>
          <w:rFonts w:cs="Arial"/>
          <w:color w:val="000000"/>
          <w:sz w:val="24"/>
          <w:szCs w:val="24"/>
          <w:lang w:val="en-GB"/>
        </w:rPr>
        <w:t>R4-25</w:t>
      </w:r>
      <w:r w:rsidR="00F73A04">
        <w:rPr>
          <w:rFonts w:cs="Arial"/>
          <w:color w:val="000000"/>
          <w:sz w:val="24"/>
          <w:szCs w:val="24"/>
          <w:lang w:val="en-GB"/>
        </w:rPr>
        <w:t>11632</w:t>
      </w:r>
    </w:p>
    <w:p w14:paraId="09BB34F6" w14:textId="65731062" w:rsidR="00CE2F76" w:rsidRPr="00CE2F76" w:rsidRDefault="007D0481" w:rsidP="00360F01">
      <w:pPr>
        <w:pStyle w:val="Header"/>
        <w:rPr>
          <w:rFonts w:eastAsia="SimSun"/>
          <w:sz w:val="24"/>
          <w:szCs w:val="24"/>
          <w:lang w:val="en-GB" w:eastAsia="zh-CN"/>
        </w:rPr>
      </w:pPr>
      <w:r w:rsidRPr="007D0481">
        <w:rPr>
          <w:rFonts w:eastAsia="SimSun"/>
          <w:sz w:val="24"/>
          <w:szCs w:val="24"/>
          <w:lang w:val="en-GB" w:eastAsia="zh-CN"/>
        </w:rPr>
        <w:t>Bengaluru, India, August 25th – 29th, 2025</w:t>
      </w:r>
    </w:p>
    <w:p w14:paraId="11E40FD2" w14:textId="236CEF46" w:rsidR="00070561" w:rsidRPr="008C4D7E" w:rsidRDefault="00070561" w:rsidP="00360F01">
      <w:pPr>
        <w:pStyle w:val="Header"/>
        <w:rPr>
          <w:noProof w:val="0"/>
          <w:lang w:val="en-GB"/>
        </w:rPr>
      </w:pPr>
    </w:p>
    <w:p w14:paraId="753F9938" w14:textId="106E5785" w:rsidR="00070561" w:rsidRDefault="00070561" w:rsidP="00360F01">
      <w:pPr>
        <w:pStyle w:val="Footer"/>
        <w:jc w:val="left"/>
        <w:rPr>
          <w:noProof w:val="0"/>
        </w:rPr>
      </w:pPr>
    </w:p>
    <w:p w14:paraId="6138064B" w14:textId="3A48082D"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7771F4">
        <w:rPr>
          <w:rFonts w:ascii="Arial" w:hAnsi="Arial"/>
          <w:sz w:val="24"/>
          <w:lang w:val="en-US"/>
        </w:rPr>
        <w:t>7</w:t>
      </w:r>
      <w:r w:rsidR="004C1A4F">
        <w:rPr>
          <w:rFonts w:ascii="Arial" w:hAnsi="Arial"/>
          <w:sz w:val="24"/>
          <w:lang w:val="en-US"/>
        </w:rPr>
        <w:t>.</w:t>
      </w:r>
      <w:r w:rsidR="00672B74">
        <w:rPr>
          <w:rFonts w:ascii="Arial" w:hAnsi="Arial"/>
          <w:sz w:val="24"/>
          <w:lang w:val="en-US"/>
        </w:rPr>
        <w:t>2</w:t>
      </w:r>
      <w:r w:rsidR="00A81DF3">
        <w:rPr>
          <w:rFonts w:ascii="Arial" w:hAnsi="Arial"/>
          <w:sz w:val="24"/>
          <w:lang w:val="en-US"/>
        </w:rPr>
        <w:t>4</w:t>
      </w:r>
      <w:r w:rsidR="00BC1D67">
        <w:rPr>
          <w:rFonts w:ascii="Arial" w:hAnsi="Arial"/>
          <w:sz w:val="24"/>
          <w:lang w:val="en-US"/>
        </w:rPr>
        <w:t>.</w:t>
      </w:r>
      <w:r w:rsidR="00703A8E">
        <w:rPr>
          <w:rFonts w:ascii="Arial" w:hAnsi="Arial"/>
          <w:sz w:val="24"/>
          <w:lang w:val="en-US"/>
        </w:rPr>
        <w:t>5</w:t>
      </w:r>
      <w:r w:rsidR="00672B74">
        <w:rPr>
          <w:rFonts w:ascii="Arial" w:hAnsi="Arial"/>
          <w:sz w:val="24"/>
          <w:lang w:val="en-US"/>
        </w:rPr>
        <w:t>.2</w:t>
      </w:r>
    </w:p>
    <w:p w14:paraId="44E04CDB" w14:textId="45605206" w:rsidR="00070561" w:rsidRDefault="00070561" w:rsidP="00360F01">
      <w:pPr>
        <w:tabs>
          <w:tab w:val="left" w:pos="1985"/>
        </w:tabs>
        <w:rPr>
          <w:rFonts w:ascii="Arial" w:hAnsi="Arial"/>
          <w:sz w:val="24"/>
          <w:lang w:val="en-US"/>
        </w:rPr>
      </w:pPr>
      <w:r>
        <w:rPr>
          <w:rFonts w:ascii="Arial" w:hAnsi="Arial"/>
          <w:b/>
          <w:sz w:val="24"/>
          <w:lang w:val="en-US"/>
        </w:rPr>
        <w:t>Source:</w:t>
      </w:r>
      <w:r w:rsidR="00C174F9">
        <w:rPr>
          <w:rFonts w:ascii="Arial" w:hAnsi="Arial"/>
          <w:b/>
          <w:sz w:val="24"/>
          <w:lang w:val="en-US"/>
        </w:rPr>
        <w:tab/>
      </w:r>
      <w:r w:rsidR="005478CC">
        <w:rPr>
          <w:rFonts w:ascii="Arial" w:hAnsi="Arial"/>
          <w:sz w:val="24"/>
          <w:lang w:val="en-US"/>
        </w:rPr>
        <w:t>Qualcomm Incorporated</w:t>
      </w:r>
    </w:p>
    <w:p w14:paraId="6BF1466C" w14:textId="738D9517"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t xml:space="preserve">RRM </w:t>
      </w:r>
      <w:r w:rsidR="00A23C00">
        <w:rPr>
          <w:rFonts w:ascii="Arial" w:hAnsi="Arial"/>
          <w:sz w:val="24"/>
          <w:lang w:val="en-US"/>
        </w:rPr>
        <w:t xml:space="preserve">core </w:t>
      </w:r>
      <w:r w:rsidR="007A051B" w:rsidRPr="007A051B">
        <w:rPr>
          <w:rFonts w:ascii="Arial" w:hAnsi="Arial"/>
          <w:sz w:val="24"/>
          <w:lang w:val="en-US"/>
        </w:rPr>
        <w:t>requirements for LP-WUR</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1EC417C9" w14:textId="4E097DDB" w:rsidR="004662A5" w:rsidRPr="00A22F4F" w:rsidRDefault="00D57EEA" w:rsidP="00360F01">
      <w:r>
        <w:t xml:space="preserve">RAN4 has been </w:t>
      </w:r>
      <w:r w:rsidR="00B866D1">
        <w:t xml:space="preserve">discussing various scenarios and issues related to RRM requirements </w:t>
      </w:r>
      <w:r w:rsidR="00DD0FD3">
        <w:t>for LP WUR</w:t>
      </w:r>
      <w:r w:rsidR="00937E3D">
        <w:t xml:space="preserve">/WUS </w:t>
      </w:r>
      <w:r w:rsidR="00B866D1">
        <w:t>over the past few meetings</w:t>
      </w:r>
      <w:r w:rsidR="00023887">
        <w:t xml:space="preserve"> </w:t>
      </w:r>
      <w:r w:rsidR="00937E3D">
        <w:t>and</w:t>
      </w:r>
      <w:r w:rsidR="00023887">
        <w:t xml:space="preserve"> achieved </w:t>
      </w:r>
      <w:r w:rsidR="00937E3D">
        <w:t>many</w:t>
      </w:r>
      <w:r w:rsidR="002F276B">
        <w:rPr>
          <w:lang w:eastAsia="ja-JP"/>
        </w:rPr>
        <w:t xml:space="preserve"> agreements</w:t>
      </w:r>
      <w:r w:rsidR="001752C8">
        <w:rPr>
          <w:lang w:eastAsia="ja-JP"/>
        </w:rPr>
        <w:t xml:space="preserve"> [2]</w:t>
      </w:r>
      <w:r w:rsidR="0071030B">
        <w:rPr>
          <w:lang w:eastAsia="ja-JP"/>
        </w:rPr>
        <w:t>-</w:t>
      </w:r>
      <w:r w:rsidR="00A92C88">
        <w:rPr>
          <w:lang w:eastAsia="ja-JP"/>
        </w:rPr>
        <w:t>[</w:t>
      </w:r>
      <w:r w:rsidR="00825AC6">
        <w:rPr>
          <w:lang w:eastAsia="ja-JP"/>
        </w:rPr>
        <w:t>9</w:t>
      </w:r>
      <w:r w:rsidR="00A92C88">
        <w:rPr>
          <w:lang w:eastAsia="ja-JP"/>
        </w:rPr>
        <w:t>]</w:t>
      </w:r>
      <w:r w:rsidR="001752C8">
        <w:rPr>
          <w:lang w:eastAsia="ja-JP"/>
        </w:rPr>
        <w:t>.</w:t>
      </w:r>
      <w:r w:rsidR="00DB5D2A">
        <w:rPr>
          <w:lang w:eastAsia="ja-JP"/>
        </w:rPr>
        <w:t xml:space="preserve"> </w:t>
      </w:r>
      <w:r w:rsidR="00714A44">
        <w:rPr>
          <w:lang w:eastAsia="ja-JP"/>
        </w:rPr>
        <w:t xml:space="preserve">In this paper, we </w:t>
      </w:r>
      <w:r w:rsidR="00937E3D">
        <w:rPr>
          <w:lang w:eastAsia="ja-JP"/>
        </w:rPr>
        <w:t xml:space="preserve">present our views on </w:t>
      </w:r>
      <w:r w:rsidR="00825AC6">
        <w:rPr>
          <w:lang w:eastAsia="ja-JP"/>
        </w:rPr>
        <w:t>some</w:t>
      </w:r>
      <w:r w:rsidR="00D01EF3">
        <w:rPr>
          <w:lang w:eastAsia="ja-JP"/>
        </w:rPr>
        <w:t xml:space="preserve"> open issues</w:t>
      </w:r>
      <w:r w:rsidR="00597EAA">
        <w:rPr>
          <w:lang w:eastAsia="ja-JP"/>
        </w:rPr>
        <w:t>.</w:t>
      </w:r>
    </w:p>
    <w:p w14:paraId="67FE7888" w14:textId="045CEE00" w:rsidR="00342B3A" w:rsidRDefault="00342B3A" w:rsidP="006C01F8">
      <w:pPr>
        <w:pStyle w:val="Heading1"/>
        <w:rPr>
          <w:lang w:eastAsia="zh-CN"/>
        </w:rPr>
      </w:pPr>
      <w:r>
        <w:rPr>
          <w:lang w:eastAsia="zh-CN"/>
        </w:rPr>
        <w:t>LP-WUR operation in FR2</w:t>
      </w:r>
    </w:p>
    <w:p w14:paraId="6D274767" w14:textId="3E54E78D" w:rsidR="0085022B" w:rsidRPr="0085022B" w:rsidRDefault="0085022B" w:rsidP="0085022B">
      <w:pPr>
        <w:rPr>
          <w:lang w:val="en-US" w:eastAsia="zh-CN"/>
        </w:rPr>
      </w:pPr>
      <w:r w:rsidRPr="0085022B">
        <w:rPr>
          <w:lang w:val="en-US" w:eastAsia="zh-CN"/>
        </w:rPr>
        <w:t>Since other working groups, including RAN4 RF, are actively working on specifying requirements for LP-WUR operation in FR2, we propose that RAN4 also specify the corresponding RRM requirements to ensure consistency and completeness across the specification.</w:t>
      </w:r>
    </w:p>
    <w:p w14:paraId="16EB1B74" w14:textId="77777777" w:rsidR="0085022B" w:rsidRPr="0085022B" w:rsidRDefault="0085022B" w:rsidP="0085022B">
      <w:pPr>
        <w:rPr>
          <w:lang w:val="en-US" w:eastAsia="zh-CN"/>
        </w:rPr>
      </w:pPr>
      <w:r w:rsidRPr="0085022B">
        <w:rPr>
          <w:lang w:val="en-US" w:eastAsia="zh-CN"/>
        </w:rPr>
        <w:t>LP-WUR operation introduces two key impacts on RRM requirements:</w:t>
      </w:r>
    </w:p>
    <w:p w14:paraId="5488ED4F" w14:textId="66C0AE9E" w:rsidR="0085022B" w:rsidRPr="0085022B" w:rsidRDefault="0085022B" w:rsidP="0085022B">
      <w:pPr>
        <w:numPr>
          <w:ilvl w:val="0"/>
          <w:numId w:val="31"/>
        </w:numPr>
        <w:rPr>
          <w:lang w:val="en-US" w:eastAsia="zh-CN"/>
        </w:rPr>
      </w:pPr>
      <w:r w:rsidRPr="0085022B">
        <w:rPr>
          <w:lang w:val="en-US" w:eastAsia="zh-CN"/>
        </w:rPr>
        <w:t xml:space="preserve">Measurement and Evaluation </w:t>
      </w:r>
      <w:r w:rsidR="005D5CC4" w:rsidRPr="005D5CC4">
        <w:rPr>
          <w:lang w:val="en-US" w:eastAsia="zh-CN"/>
        </w:rPr>
        <w:t>Requirements</w:t>
      </w:r>
      <w:r w:rsidRPr="0085022B">
        <w:rPr>
          <w:lang w:val="en-US" w:eastAsia="zh-CN"/>
        </w:rPr>
        <w:t xml:space="preserve"> for LP-WUR</w:t>
      </w:r>
    </w:p>
    <w:p w14:paraId="52F01337" w14:textId="284F9E15" w:rsidR="005D5CC4" w:rsidRPr="000F554C" w:rsidRDefault="0085022B" w:rsidP="005D5CC4">
      <w:pPr>
        <w:numPr>
          <w:ilvl w:val="0"/>
          <w:numId w:val="31"/>
        </w:numPr>
        <w:rPr>
          <w:lang w:val="en-US" w:eastAsia="zh-CN"/>
        </w:rPr>
      </w:pPr>
      <w:r w:rsidRPr="0085022B">
        <w:rPr>
          <w:lang w:val="en-US" w:eastAsia="zh-CN"/>
        </w:rPr>
        <w:t>Relaxed Serving and Neighbor Cell Measurement Requirements for the MR</w:t>
      </w:r>
    </w:p>
    <w:p w14:paraId="65E2AE3E" w14:textId="0D3F663C" w:rsidR="0085022B" w:rsidRPr="0085022B" w:rsidRDefault="0085022B" w:rsidP="005D5CC4">
      <w:pPr>
        <w:rPr>
          <w:b/>
          <w:bCs/>
          <w:u w:val="single"/>
          <w:lang w:val="en-US" w:eastAsia="zh-CN"/>
        </w:rPr>
      </w:pPr>
      <w:r w:rsidRPr="0085022B">
        <w:rPr>
          <w:b/>
          <w:bCs/>
          <w:u w:val="single"/>
          <w:lang w:val="en-US" w:eastAsia="zh-CN"/>
        </w:rPr>
        <w:t>Measurement and Evaluation Criteria for LP-WUR in FR2</w:t>
      </w:r>
    </w:p>
    <w:p w14:paraId="44437A35" w14:textId="20B22B52" w:rsidR="0085022B" w:rsidRPr="0085022B" w:rsidRDefault="0085022B" w:rsidP="0085022B">
      <w:pPr>
        <w:rPr>
          <w:lang w:val="en-US" w:eastAsia="zh-CN"/>
        </w:rPr>
      </w:pPr>
      <w:r w:rsidRPr="0085022B">
        <w:rPr>
          <w:lang w:val="en-US" w:eastAsia="zh-CN"/>
        </w:rPr>
        <w:t xml:space="preserve">To determine the measurement and evaluation requirements for LP-WUR in FR2, we propose building upon the FR1 requirements by introducing </w:t>
      </w:r>
      <w:r w:rsidR="005D5CC4">
        <w:rPr>
          <w:lang w:val="en-US" w:eastAsia="zh-CN"/>
        </w:rPr>
        <w:t>the</w:t>
      </w:r>
      <w:r w:rsidRPr="0085022B">
        <w:rPr>
          <w:lang w:val="en-US" w:eastAsia="zh-CN"/>
        </w:rPr>
        <w:t> </w:t>
      </w:r>
      <w:r w:rsidRPr="0085022B">
        <w:rPr>
          <w:b/>
          <w:bCs/>
          <w:lang w:val="en-US" w:eastAsia="zh-CN"/>
        </w:rPr>
        <w:t>Rx beam sweeping scaling factor</w:t>
      </w:r>
      <w:r w:rsidR="005D5CC4">
        <w:rPr>
          <w:b/>
          <w:bCs/>
          <w:lang w:val="en-US" w:eastAsia="zh-CN"/>
        </w:rPr>
        <w:t xml:space="preserve"> </w:t>
      </w:r>
      <w:r w:rsidR="005D5CC4">
        <w:rPr>
          <w:lang w:val="en-US" w:eastAsia="zh-CN"/>
        </w:rPr>
        <w:t>(</w:t>
      </w:r>
      <w:r w:rsidRPr="0085022B">
        <w:rPr>
          <w:b/>
          <w:bCs/>
          <w:lang w:val="en-US" w:eastAsia="zh-CN"/>
        </w:rPr>
        <w:t>N1</w:t>
      </w:r>
      <w:r w:rsidR="005D5CC4">
        <w:rPr>
          <w:b/>
          <w:bCs/>
          <w:lang w:val="en-US" w:eastAsia="zh-CN"/>
        </w:rPr>
        <w:t>)</w:t>
      </w:r>
      <w:r w:rsidRPr="0085022B">
        <w:rPr>
          <w:lang w:val="en-US" w:eastAsia="zh-CN"/>
        </w:rPr>
        <w:t>. In FR1, this factor is assumed to be 1 due to omnidirectional reception. However, in FR2, Rx beam sweeping is likely to be enabled on LP-WUR to ensure coverage comparable to the MR.</w:t>
      </w:r>
    </w:p>
    <w:p w14:paraId="6BB41C7E" w14:textId="77777777" w:rsidR="0085022B" w:rsidRPr="0085022B" w:rsidRDefault="0085022B" w:rsidP="0085022B">
      <w:pPr>
        <w:rPr>
          <w:lang w:val="en-US" w:eastAsia="zh-CN"/>
        </w:rPr>
      </w:pPr>
      <w:r w:rsidRPr="0085022B">
        <w:rPr>
          <w:lang w:val="en-US" w:eastAsia="zh-CN"/>
        </w:rPr>
        <w:t>The key question is: </w:t>
      </w:r>
      <w:r w:rsidRPr="0085022B">
        <w:rPr>
          <w:b/>
          <w:bCs/>
          <w:lang w:val="en-US" w:eastAsia="zh-CN"/>
        </w:rPr>
        <w:t>How many Rx beams can be assumed for LP-WUR in FR2?</w:t>
      </w:r>
      <w:r w:rsidRPr="0085022B">
        <w:rPr>
          <w:lang w:val="en-US" w:eastAsia="zh-CN"/>
        </w:rPr>
        <w:br/>
        <w:t>A straightforward approach is to align the number of Rx beams with those used by the MR.</w:t>
      </w:r>
    </w:p>
    <w:p w14:paraId="77B5F46C" w14:textId="78FE7F26" w:rsidR="0085022B" w:rsidRPr="0085022B" w:rsidRDefault="0085022B" w:rsidP="009C5BDA">
      <w:pPr>
        <w:rPr>
          <w:lang w:val="en-US" w:eastAsia="zh-CN"/>
        </w:rPr>
      </w:pPr>
      <w:r w:rsidRPr="0085022B">
        <w:rPr>
          <w:b/>
          <w:bCs/>
          <w:lang w:val="en-US" w:eastAsia="zh-CN"/>
        </w:rPr>
        <w:t>Proposal 1</w:t>
      </w:r>
      <w:r w:rsidRPr="0085022B">
        <w:rPr>
          <w:lang w:val="en-US" w:eastAsia="zh-CN"/>
        </w:rPr>
        <w:t xml:space="preserve">: </w:t>
      </w:r>
      <w:r w:rsidRPr="0085022B">
        <w:rPr>
          <w:b/>
          <w:bCs/>
          <w:lang w:val="en-US" w:eastAsia="zh-CN"/>
        </w:rPr>
        <w:t xml:space="preserve">Specify LP-WUR measurement and evaluation requirements in FR2 by scaling the FR1 requirements using </w:t>
      </w:r>
      <w:r w:rsidR="00F33B0D" w:rsidRPr="0085022B">
        <w:rPr>
          <w:b/>
          <w:bCs/>
          <w:lang w:val="en-US" w:eastAsia="zh-CN"/>
        </w:rPr>
        <w:t>beam</w:t>
      </w:r>
      <w:r w:rsidRPr="0085022B">
        <w:rPr>
          <w:b/>
          <w:bCs/>
          <w:lang w:val="en-US" w:eastAsia="zh-CN"/>
        </w:rPr>
        <w:t xml:space="preserve"> sweeping factor N1.</w:t>
      </w:r>
    </w:p>
    <w:p w14:paraId="1A6ECDBF" w14:textId="77777777" w:rsidR="0085022B" w:rsidRPr="0085022B" w:rsidRDefault="0085022B" w:rsidP="009C5BDA">
      <w:pPr>
        <w:rPr>
          <w:lang w:val="en-US" w:eastAsia="zh-CN"/>
        </w:rPr>
      </w:pPr>
      <w:r w:rsidRPr="0085022B">
        <w:rPr>
          <w:b/>
          <w:bCs/>
          <w:lang w:val="en-US" w:eastAsia="zh-CN"/>
        </w:rPr>
        <w:t>Proposal 2</w:t>
      </w:r>
      <w:r w:rsidRPr="0085022B">
        <w:rPr>
          <w:lang w:val="en-US" w:eastAsia="zh-CN"/>
        </w:rPr>
        <w:t xml:space="preserve">: </w:t>
      </w:r>
      <w:r w:rsidRPr="0085022B">
        <w:rPr>
          <w:b/>
          <w:bCs/>
          <w:lang w:val="en-US" w:eastAsia="zh-CN"/>
        </w:rPr>
        <w:t xml:space="preserve">For SSB-based measurements, assume N1 is equal to the number of Rx beams used by </w:t>
      </w:r>
      <w:proofErr w:type="gramStart"/>
      <w:r w:rsidRPr="0085022B">
        <w:rPr>
          <w:b/>
          <w:bCs/>
          <w:lang w:val="en-US" w:eastAsia="zh-CN"/>
        </w:rPr>
        <w:t>the MR</w:t>
      </w:r>
      <w:proofErr w:type="gramEnd"/>
      <w:r w:rsidRPr="0085022B">
        <w:rPr>
          <w:b/>
          <w:bCs/>
          <w:lang w:val="en-US" w:eastAsia="zh-CN"/>
        </w:rPr>
        <w:t>.</w:t>
      </w:r>
    </w:p>
    <w:p w14:paraId="1C61C744" w14:textId="1645047C" w:rsidR="002C5E75" w:rsidRDefault="0085022B" w:rsidP="009C5BDA">
      <w:pPr>
        <w:rPr>
          <w:lang w:val="en-US" w:eastAsia="zh-CN"/>
        </w:rPr>
      </w:pPr>
      <w:r w:rsidRPr="0085022B">
        <w:rPr>
          <w:b/>
          <w:bCs/>
          <w:lang w:val="en-US" w:eastAsia="zh-CN"/>
        </w:rPr>
        <w:t>Proposal 3</w:t>
      </w:r>
      <w:r w:rsidRPr="0085022B">
        <w:rPr>
          <w:lang w:val="en-US" w:eastAsia="zh-CN"/>
        </w:rPr>
        <w:t xml:space="preserve">: </w:t>
      </w:r>
      <w:r w:rsidRPr="0085022B">
        <w:rPr>
          <w:b/>
          <w:bCs/>
          <w:lang w:val="en-US" w:eastAsia="zh-CN"/>
        </w:rPr>
        <w:t>For OOK-based measurements, assume N1 = 8</w:t>
      </w:r>
      <w:r w:rsidRPr="0085022B">
        <w:rPr>
          <w:lang w:val="en-US" w:eastAsia="zh-CN"/>
        </w:rPr>
        <w:t>.</w:t>
      </w:r>
      <w:r w:rsidR="00471CD2">
        <w:rPr>
          <w:lang w:val="en-US" w:eastAsia="zh-CN"/>
        </w:rPr>
        <w:br/>
      </w:r>
    </w:p>
    <w:p w14:paraId="442D70D3" w14:textId="77777777" w:rsidR="00EB2AF7" w:rsidRDefault="003F10ED" w:rsidP="009C5BDA">
      <w:pPr>
        <w:rPr>
          <w:lang w:val="en-US" w:eastAsia="zh-CN"/>
        </w:rPr>
      </w:pPr>
      <w:r>
        <w:rPr>
          <w:lang w:val="en-US" w:eastAsia="zh-CN"/>
        </w:rPr>
        <w:t>For measurement accuracy, assume the baseband measurement accuracy is same as FR1 and only</w:t>
      </w:r>
      <w:r w:rsidR="009A0DE9">
        <w:rPr>
          <w:lang w:val="en-US" w:eastAsia="zh-CN"/>
        </w:rPr>
        <w:t xml:space="preserve"> difference would be in</w:t>
      </w:r>
      <w:r>
        <w:rPr>
          <w:lang w:val="en-US" w:eastAsia="zh-CN"/>
        </w:rPr>
        <w:t xml:space="preserve"> RF inaccuracy</w:t>
      </w:r>
      <w:r w:rsidR="00EB2AF7">
        <w:rPr>
          <w:lang w:val="en-US" w:eastAsia="zh-CN"/>
        </w:rPr>
        <w:t xml:space="preserve"> which is about 1.5 dB</w:t>
      </w:r>
      <w:r w:rsidR="009A0DE9">
        <w:rPr>
          <w:lang w:val="en-US" w:eastAsia="zh-CN"/>
        </w:rPr>
        <w:t>.</w:t>
      </w:r>
    </w:p>
    <w:p w14:paraId="79782E11" w14:textId="628D7032" w:rsidR="00160812" w:rsidRPr="002A4870" w:rsidRDefault="00EB2AF7" w:rsidP="009C5BDA">
      <w:pPr>
        <w:rPr>
          <w:b/>
          <w:bCs/>
          <w:lang w:val="en-US" w:eastAsia="zh-CN"/>
        </w:rPr>
      </w:pPr>
      <w:r w:rsidRPr="002A4870">
        <w:rPr>
          <w:b/>
          <w:bCs/>
          <w:lang w:val="en-US" w:eastAsia="zh-CN"/>
        </w:rPr>
        <w:t xml:space="preserve">Proposal 4: The target measurement accuracy </w:t>
      </w:r>
      <w:r w:rsidR="00AA239C" w:rsidRPr="002A4870">
        <w:rPr>
          <w:b/>
          <w:bCs/>
          <w:lang w:val="en-US" w:eastAsia="zh-CN"/>
        </w:rPr>
        <w:t>requirements for FR2 i</w:t>
      </w:r>
      <w:r w:rsidR="00BF6991" w:rsidRPr="002A4870">
        <w:rPr>
          <w:b/>
          <w:bCs/>
          <w:lang w:val="en-US" w:eastAsia="zh-CN"/>
        </w:rPr>
        <w:t>s 1.5 dB worse than FR1</w:t>
      </w:r>
      <w:r w:rsidR="002A4870" w:rsidRPr="002A4870">
        <w:rPr>
          <w:b/>
          <w:bCs/>
          <w:lang w:val="en-US" w:eastAsia="zh-CN"/>
        </w:rPr>
        <w:t>, to account for the additional RF inaccuracy.</w:t>
      </w:r>
      <w:r w:rsidR="003F10ED" w:rsidRPr="002A4870">
        <w:rPr>
          <w:b/>
          <w:bCs/>
          <w:lang w:val="en-US" w:eastAsia="zh-CN"/>
        </w:rPr>
        <w:t xml:space="preserve"> </w:t>
      </w:r>
    </w:p>
    <w:p w14:paraId="1C9DAFFE" w14:textId="79A06C9D" w:rsidR="0085022B" w:rsidRPr="0085022B" w:rsidRDefault="0085022B" w:rsidP="009C5BDA">
      <w:pPr>
        <w:rPr>
          <w:b/>
          <w:bCs/>
          <w:u w:val="single"/>
          <w:lang w:val="en-US" w:eastAsia="zh-CN"/>
        </w:rPr>
      </w:pPr>
      <w:r w:rsidRPr="0085022B">
        <w:rPr>
          <w:b/>
          <w:bCs/>
          <w:u w:val="single"/>
          <w:lang w:val="en-US" w:eastAsia="zh-CN"/>
        </w:rPr>
        <w:t>Relaxed Serving and Neighbor Cell Measurement Requirements</w:t>
      </w:r>
    </w:p>
    <w:p w14:paraId="68757744" w14:textId="3FA1F597" w:rsidR="0085022B" w:rsidRPr="0085022B" w:rsidRDefault="0085022B" w:rsidP="0085022B">
      <w:pPr>
        <w:rPr>
          <w:lang w:val="en-US" w:eastAsia="zh-CN"/>
        </w:rPr>
      </w:pPr>
      <w:r w:rsidRPr="0085022B">
        <w:rPr>
          <w:lang w:val="en-US" w:eastAsia="zh-CN"/>
        </w:rPr>
        <w:t>In FR1, a </w:t>
      </w:r>
      <w:r w:rsidRPr="0085022B">
        <w:rPr>
          <w:b/>
          <w:bCs/>
          <w:lang w:val="en-US" w:eastAsia="zh-CN"/>
        </w:rPr>
        <w:t>measurement relaxation factor of 16</w:t>
      </w:r>
      <w:r w:rsidRPr="0085022B">
        <w:rPr>
          <w:lang w:val="en-US" w:eastAsia="zh-CN"/>
        </w:rPr>
        <w:t xml:space="preserve"> was agreed upon for </w:t>
      </w:r>
      <w:r w:rsidR="00471CD2">
        <w:rPr>
          <w:lang w:val="en-US" w:eastAsia="zh-CN"/>
        </w:rPr>
        <w:t xml:space="preserve">relaxed serving and neighbor cell measurements </w:t>
      </w:r>
      <w:r w:rsidR="000F554C">
        <w:rPr>
          <w:lang w:val="en-US" w:eastAsia="zh-CN"/>
        </w:rPr>
        <w:t xml:space="preserve">for MR when </w:t>
      </w:r>
      <w:r w:rsidRPr="0085022B">
        <w:rPr>
          <w:lang w:val="en-US" w:eastAsia="zh-CN"/>
        </w:rPr>
        <w:t xml:space="preserve">LP-WUR </w:t>
      </w:r>
      <w:r w:rsidR="000F554C">
        <w:rPr>
          <w:lang w:val="en-US" w:eastAsia="zh-CN"/>
        </w:rPr>
        <w:t>is enabled</w:t>
      </w:r>
      <w:r w:rsidRPr="0085022B">
        <w:rPr>
          <w:lang w:val="en-US" w:eastAsia="zh-CN"/>
        </w:rPr>
        <w:t>. We propose reusing this factor for FR2, given the similar constraints and objectives in minimizing power consumption while maintaining basic connectivity.</w:t>
      </w:r>
    </w:p>
    <w:p w14:paraId="7D6D5D4A" w14:textId="6F832595" w:rsidR="0085022B" w:rsidRPr="0085022B" w:rsidRDefault="0085022B" w:rsidP="000F554C">
      <w:pPr>
        <w:rPr>
          <w:lang w:val="en-US" w:eastAsia="zh-CN"/>
        </w:rPr>
      </w:pPr>
      <w:r w:rsidRPr="0085022B">
        <w:rPr>
          <w:b/>
          <w:bCs/>
          <w:lang w:val="en-US" w:eastAsia="zh-CN"/>
        </w:rPr>
        <w:t xml:space="preserve">Proposal </w:t>
      </w:r>
      <w:r w:rsidR="00984772">
        <w:rPr>
          <w:b/>
          <w:bCs/>
          <w:lang w:val="en-US" w:eastAsia="zh-CN"/>
        </w:rPr>
        <w:t>5</w:t>
      </w:r>
      <w:r w:rsidRPr="0085022B">
        <w:rPr>
          <w:lang w:val="en-US" w:eastAsia="zh-CN"/>
        </w:rPr>
        <w:t xml:space="preserve">: </w:t>
      </w:r>
      <w:r w:rsidRPr="0085022B">
        <w:rPr>
          <w:b/>
          <w:bCs/>
          <w:lang w:val="en-US" w:eastAsia="zh-CN"/>
        </w:rPr>
        <w:t>For MR-based relaxed serving and neighbor cell measurements in FR2, reuse the measurement relaxation factor of 16 </w:t>
      </w:r>
      <w:r w:rsidR="00891A0B">
        <w:rPr>
          <w:b/>
          <w:bCs/>
          <w:lang w:val="en-US" w:eastAsia="zh-CN"/>
        </w:rPr>
        <w:t xml:space="preserve">as </w:t>
      </w:r>
      <w:r w:rsidRPr="0085022B">
        <w:rPr>
          <w:b/>
          <w:bCs/>
          <w:lang w:val="en-US" w:eastAsia="zh-CN"/>
        </w:rPr>
        <w:t>agreed for FR1</w:t>
      </w:r>
      <w:r w:rsidRPr="0085022B">
        <w:rPr>
          <w:lang w:val="en-US" w:eastAsia="zh-CN"/>
        </w:rPr>
        <w:t>.</w:t>
      </w:r>
    </w:p>
    <w:p w14:paraId="7A7CCE74" w14:textId="171050F5" w:rsidR="005740E5" w:rsidRDefault="002C22FB" w:rsidP="006C01F8">
      <w:pPr>
        <w:pStyle w:val="Heading1"/>
        <w:rPr>
          <w:lang w:eastAsia="zh-CN"/>
        </w:rPr>
      </w:pPr>
      <w:r>
        <w:rPr>
          <w:lang w:eastAsia="zh-CN"/>
        </w:rPr>
        <w:lastRenderedPageBreak/>
        <w:t>LP-WUR operation with eDRX</w:t>
      </w:r>
    </w:p>
    <w:p w14:paraId="211AC0C3" w14:textId="2C7AC377" w:rsidR="00DF4D1A" w:rsidRDefault="00816176" w:rsidP="00DF4D1A">
      <w:pPr>
        <w:rPr>
          <w:lang w:eastAsia="zh-CN"/>
        </w:rPr>
      </w:pPr>
      <w:r>
        <w:rPr>
          <w:lang w:eastAsia="zh-CN"/>
        </w:rPr>
        <w:t>RAN2</w:t>
      </w:r>
      <w:r w:rsidR="00D225A2">
        <w:rPr>
          <w:lang w:eastAsia="zh-CN"/>
        </w:rPr>
        <w:t xml:space="preserve"> has agreed to</w:t>
      </w:r>
      <w:r w:rsidR="00D94E90">
        <w:rPr>
          <w:lang w:eastAsia="zh-CN"/>
        </w:rPr>
        <w:t xml:space="preserve"> support LP-WUS with eDRX. </w:t>
      </w:r>
      <w:r w:rsidR="00DF4D1A">
        <w:rPr>
          <w:lang w:eastAsia="zh-CN"/>
        </w:rPr>
        <w:t xml:space="preserve">Although </w:t>
      </w:r>
      <w:r w:rsidR="00151E23">
        <w:rPr>
          <w:lang w:eastAsia="zh-CN"/>
        </w:rPr>
        <w:t xml:space="preserve">RAN4 didn’t receive </w:t>
      </w:r>
      <w:r w:rsidR="00D94E90">
        <w:rPr>
          <w:lang w:eastAsia="zh-CN"/>
        </w:rPr>
        <w:t>a formal</w:t>
      </w:r>
      <w:r w:rsidR="00151E23">
        <w:rPr>
          <w:lang w:eastAsia="zh-CN"/>
        </w:rPr>
        <w:t xml:space="preserve"> LS from RAN2 on this </w:t>
      </w:r>
      <w:r w:rsidR="00BF7093">
        <w:rPr>
          <w:lang w:eastAsia="zh-CN"/>
        </w:rPr>
        <w:t>topic</w:t>
      </w:r>
      <w:r w:rsidR="00151E23">
        <w:rPr>
          <w:lang w:eastAsia="zh-CN"/>
        </w:rPr>
        <w:t xml:space="preserve">, </w:t>
      </w:r>
      <w:r w:rsidR="007E2C95">
        <w:rPr>
          <w:lang w:eastAsia="zh-CN"/>
        </w:rPr>
        <w:t xml:space="preserve">given the limited </w:t>
      </w:r>
      <w:r w:rsidR="002D62D5">
        <w:rPr>
          <w:lang w:eastAsia="zh-CN"/>
        </w:rPr>
        <w:t>time remaining</w:t>
      </w:r>
      <w:r w:rsidR="007E2C95">
        <w:rPr>
          <w:lang w:eastAsia="zh-CN"/>
        </w:rPr>
        <w:t xml:space="preserve"> for this WI</w:t>
      </w:r>
      <w:r w:rsidR="002D62D5">
        <w:rPr>
          <w:lang w:eastAsia="zh-CN"/>
        </w:rPr>
        <w:t xml:space="preserve"> completion</w:t>
      </w:r>
      <w:r w:rsidR="007E2C95">
        <w:rPr>
          <w:lang w:eastAsia="zh-CN"/>
        </w:rPr>
        <w:t xml:space="preserve">, RAN4 should discuss </w:t>
      </w:r>
      <w:r w:rsidR="00954EB2">
        <w:rPr>
          <w:lang w:eastAsia="zh-CN"/>
        </w:rPr>
        <w:t xml:space="preserve">whether </w:t>
      </w:r>
      <w:r w:rsidR="00ED4BDA">
        <w:rPr>
          <w:lang w:eastAsia="zh-CN"/>
        </w:rPr>
        <w:t>RRM</w:t>
      </w:r>
      <w:r w:rsidR="00954EB2">
        <w:rPr>
          <w:lang w:eastAsia="zh-CN"/>
        </w:rPr>
        <w:t xml:space="preserve"> requirements</w:t>
      </w:r>
      <w:r w:rsidR="00ED4BDA">
        <w:rPr>
          <w:lang w:eastAsia="zh-CN"/>
        </w:rPr>
        <w:t xml:space="preserve"> need to be specified</w:t>
      </w:r>
      <w:r w:rsidR="00954EB2">
        <w:rPr>
          <w:lang w:eastAsia="zh-CN"/>
        </w:rPr>
        <w:t xml:space="preserve"> for LP-WUR operation with eDRX.</w:t>
      </w:r>
    </w:p>
    <w:p w14:paraId="5CA9AF1C" w14:textId="74F3ED5C" w:rsidR="003D1F3A" w:rsidRDefault="00736CAA" w:rsidP="00736CAA">
      <w:pPr>
        <w:rPr>
          <w:lang w:eastAsia="zh-CN"/>
        </w:rPr>
      </w:pPr>
      <w:r w:rsidRPr="00CF24A4">
        <w:rPr>
          <w:lang w:val="en-US" w:eastAsia="zh-CN"/>
        </w:rPr>
        <w:t>Our understanding is that when a UE is configured with an </w:t>
      </w:r>
      <w:r w:rsidRPr="00CF24A4">
        <w:rPr>
          <w:b/>
          <w:bCs/>
          <w:lang w:val="en-US" w:eastAsia="zh-CN"/>
        </w:rPr>
        <w:t>eDRX cycle longer than 10.24s</w:t>
      </w:r>
      <w:r w:rsidRPr="00CF24A4">
        <w:rPr>
          <w:lang w:val="en-US" w:eastAsia="zh-CN"/>
        </w:rPr>
        <w:t>, it monitors Paging Occasions (POs) only within a </w:t>
      </w:r>
      <w:r w:rsidRPr="00CF24A4">
        <w:rPr>
          <w:b/>
          <w:bCs/>
          <w:lang w:val="en-US" w:eastAsia="zh-CN"/>
        </w:rPr>
        <w:t>Paging Time Window (PTW)</w:t>
      </w:r>
      <w:r w:rsidRPr="00CF24A4">
        <w:rPr>
          <w:lang w:val="en-US" w:eastAsia="zh-CN"/>
        </w:rPr>
        <w:t>. RAN4 currently specifies serving and neighbor cell measurements and cell reselection evaluation periods under the assumption that </w:t>
      </w:r>
      <w:r w:rsidRPr="00CF24A4">
        <w:rPr>
          <w:b/>
          <w:bCs/>
          <w:lang w:val="en-US" w:eastAsia="zh-CN"/>
        </w:rPr>
        <w:t>all measurements are performed within the PTW</w:t>
      </w:r>
      <w:r w:rsidRPr="00CF24A4">
        <w:rPr>
          <w:lang w:val="en-US" w:eastAsia="zh-CN"/>
        </w:rPr>
        <w:t xml:space="preserve">, even when </w:t>
      </w:r>
      <w:r w:rsidR="00750093" w:rsidRPr="00750093">
        <w:rPr>
          <w:lang w:eastAsia="zh-CN"/>
        </w:rPr>
        <w:t xml:space="preserve">measurements are performed at a relaxed rate. With full offloading, RAN4 </w:t>
      </w:r>
      <w:r w:rsidR="00750093">
        <w:rPr>
          <w:lang w:eastAsia="zh-CN"/>
        </w:rPr>
        <w:t xml:space="preserve">may need to discuss </w:t>
      </w:r>
      <w:r w:rsidR="00750093" w:rsidRPr="00750093">
        <w:rPr>
          <w:lang w:eastAsia="zh-CN"/>
        </w:rPr>
        <w:t>how frequently measurements are performed by the WUR</w:t>
      </w:r>
      <w:r>
        <w:rPr>
          <w:lang w:eastAsia="zh-CN"/>
        </w:rPr>
        <w:t xml:space="preserve"> especially outside the PTW</w:t>
      </w:r>
      <w:r w:rsidR="000263D3">
        <w:rPr>
          <w:lang w:eastAsia="zh-CN"/>
        </w:rPr>
        <w:t xml:space="preserve"> and w</w:t>
      </w:r>
      <w:r>
        <w:rPr>
          <w:lang w:eastAsia="zh-CN"/>
        </w:rPr>
        <w:t>hether the WUR can maintain synchronization and measurement accuracy over long eDRX cycles</w:t>
      </w:r>
      <w:r w:rsidR="000263D3">
        <w:rPr>
          <w:lang w:eastAsia="zh-CN"/>
        </w:rPr>
        <w:t>.</w:t>
      </w:r>
    </w:p>
    <w:p w14:paraId="34266F78" w14:textId="4722A698" w:rsidR="005D0CCF" w:rsidRDefault="00750093" w:rsidP="00DF4D1A">
      <w:pPr>
        <w:rPr>
          <w:lang w:eastAsia="zh-CN"/>
        </w:rPr>
      </w:pPr>
      <w:r w:rsidRPr="00750093">
        <w:rPr>
          <w:lang w:eastAsia="zh-CN"/>
        </w:rPr>
        <w:t>Furthermore, the power savings gain may not be substantial with long eDRX cycles, and in some cases may see negative power savings if the WUR is required to perform measurements more frequently.</w:t>
      </w:r>
      <w:r w:rsidR="003D1F3A">
        <w:rPr>
          <w:lang w:eastAsia="zh-CN"/>
        </w:rPr>
        <w:t xml:space="preserve"> </w:t>
      </w:r>
      <w:r w:rsidR="003465E1" w:rsidRPr="003465E1">
        <w:rPr>
          <w:lang w:eastAsia="zh-CN"/>
        </w:rPr>
        <w:t>Even in Rel-16 and Rel-17, RAN4 limited the applicability of neighbor cell measurement relaxations to eDRX cycles up to 163.84s, acknowledging diminishing returns beyond that point.</w:t>
      </w:r>
    </w:p>
    <w:p w14:paraId="35BD2344" w14:textId="26037E12" w:rsidR="00750093" w:rsidRDefault="002074ED" w:rsidP="00DF4D1A">
      <w:pPr>
        <w:rPr>
          <w:lang w:eastAsia="zh-CN"/>
        </w:rPr>
      </w:pPr>
      <w:r w:rsidRPr="002074ED">
        <w:rPr>
          <w:lang w:eastAsia="zh-CN"/>
        </w:rPr>
        <w:t>Given the increased complexity and limited power savings associated with LP-WUS operation during long eDRX cycles (&gt;10.24s), we propose limiting the scope of RRM requirements accordingly.</w:t>
      </w:r>
    </w:p>
    <w:p w14:paraId="5833C1CE" w14:textId="1FF9D8E8" w:rsidR="005D0CCF" w:rsidRPr="00DF4D1A" w:rsidRDefault="005D0CCF" w:rsidP="00DF4D1A">
      <w:pPr>
        <w:rPr>
          <w:lang w:eastAsia="zh-CN"/>
        </w:rPr>
      </w:pPr>
      <w:r w:rsidRPr="00482654">
        <w:rPr>
          <w:b/>
          <w:color w:val="000000" w:themeColor="text1"/>
        </w:rPr>
        <w:t xml:space="preserve">Proposal </w:t>
      </w:r>
      <w:r w:rsidR="00984772">
        <w:rPr>
          <w:b/>
          <w:color w:val="000000" w:themeColor="text1"/>
        </w:rPr>
        <w:t>6</w:t>
      </w:r>
      <w:r w:rsidRPr="00482654">
        <w:rPr>
          <w:b/>
          <w:color w:val="000000" w:themeColor="text1"/>
        </w:rPr>
        <w:t xml:space="preserve">: </w:t>
      </w:r>
      <w:r w:rsidR="006B525B">
        <w:rPr>
          <w:b/>
          <w:color w:val="000000" w:themeColor="text1"/>
        </w:rPr>
        <w:t xml:space="preserve">RAN4 to </w:t>
      </w:r>
      <w:r w:rsidR="008A2CD5">
        <w:rPr>
          <w:b/>
          <w:color w:val="000000" w:themeColor="text1"/>
        </w:rPr>
        <w:t>specify</w:t>
      </w:r>
      <w:r w:rsidR="006B525B">
        <w:rPr>
          <w:b/>
          <w:color w:val="000000" w:themeColor="text1"/>
        </w:rPr>
        <w:t xml:space="preserve"> RRM requirements for LP-WUR operation </w:t>
      </w:r>
      <w:r w:rsidR="008A2CD5">
        <w:rPr>
          <w:b/>
          <w:color w:val="000000" w:themeColor="text1"/>
        </w:rPr>
        <w:t>only for</w:t>
      </w:r>
      <w:r w:rsidR="006B525B">
        <w:rPr>
          <w:b/>
          <w:color w:val="000000" w:themeColor="text1"/>
        </w:rPr>
        <w:t xml:space="preserve"> eDRX</w:t>
      </w:r>
      <w:r w:rsidR="008A2CD5">
        <w:rPr>
          <w:b/>
          <w:color w:val="000000" w:themeColor="text1"/>
        </w:rPr>
        <w:t xml:space="preserve"> without PTW (</w:t>
      </w:r>
      <w:r w:rsidR="00B724D9">
        <w:rPr>
          <w:b/>
          <w:color w:val="000000" w:themeColor="text1"/>
        </w:rPr>
        <w:t>i.e.,</w:t>
      </w:r>
      <w:r w:rsidR="00B724D9" w:rsidRPr="00B724D9">
        <w:rPr>
          <w:lang w:eastAsia="zh-CN"/>
        </w:rPr>
        <w:t xml:space="preserve"> </w:t>
      </w:r>
      <w:r w:rsidR="00B724D9" w:rsidRPr="00B724D9">
        <w:rPr>
          <w:b/>
          <w:bCs/>
          <w:lang w:eastAsia="zh-CN"/>
        </w:rPr>
        <w:t>eDRX cycles &lt;</w:t>
      </w:r>
      <w:r w:rsidR="00171228">
        <w:rPr>
          <w:b/>
          <w:bCs/>
          <w:lang w:eastAsia="zh-CN"/>
        </w:rPr>
        <w:t>=</w:t>
      </w:r>
      <w:r w:rsidR="00B724D9" w:rsidRPr="00B724D9">
        <w:rPr>
          <w:b/>
          <w:bCs/>
          <w:lang w:eastAsia="zh-CN"/>
        </w:rPr>
        <w:t>10.24s</w:t>
      </w:r>
      <w:r w:rsidR="008A2CD5">
        <w:rPr>
          <w:b/>
          <w:color w:val="000000" w:themeColor="text1"/>
        </w:rPr>
        <w:t>)</w:t>
      </w:r>
      <w:r w:rsidR="006B525B">
        <w:rPr>
          <w:b/>
          <w:color w:val="000000" w:themeColor="text1"/>
        </w:rPr>
        <w:t>.</w:t>
      </w:r>
    </w:p>
    <w:p w14:paraId="5B4A4AA2" w14:textId="578DC941" w:rsidR="006C01F8" w:rsidRDefault="00D02EF0" w:rsidP="006C01F8">
      <w:pPr>
        <w:pStyle w:val="Heading1"/>
        <w:rPr>
          <w:lang w:eastAsia="zh-CN"/>
        </w:rPr>
      </w:pPr>
      <w:r w:rsidRPr="00D02EF0">
        <w:t>Frequency separation between SSB and LP-WUS</w:t>
      </w:r>
    </w:p>
    <w:p w14:paraId="20EC0A42" w14:textId="77777777" w:rsidR="008F15AB" w:rsidRPr="008F15AB" w:rsidRDefault="008F15AB" w:rsidP="008F15AB">
      <w:pPr>
        <w:rPr>
          <w:bCs/>
          <w:color w:val="000000" w:themeColor="text1"/>
          <w:lang w:val="en-US"/>
        </w:rPr>
      </w:pPr>
      <w:r w:rsidRPr="008F15AB">
        <w:rPr>
          <w:bCs/>
          <w:color w:val="000000" w:themeColor="text1"/>
          <w:lang w:val="en-US"/>
        </w:rPr>
        <w:t>RAN1 has agreed that, in IDLE and INACTIVE modes, the LP-WUS/LP-SS frequency resources may be located outside the initial DL BWP, and that there is no restriction on the maximum frequency bandwidth covering both LP-WUS/LP-SS and the SSB. However, RAN1 also noted that it is within RAN4’s scope to introduce such restrictions if deemed necessary.</w:t>
      </w:r>
    </w:p>
    <w:p w14:paraId="1A524F2F" w14:textId="77777777" w:rsidR="008F15AB" w:rsidRPr="008F15AB" w:rsidRDefault="008F15AB" w:rsidP="008F15AB">
      <w:pPr>
        <w:rPr>
          <w:bCs/>
          <w:color w:val="000000" w:themeColor="text1"/>
          <w:lang w:val="en-US"/>
        </w:rPr>
      </w:pPr>
      <w:r w:rsidRPr="008F15AB">
        <w:rPr>
          <w:bCs/>
          <w:color w:val="000000" w:themeColor="text1"/>
          <w:lang w:val="en-US"/>
        </w:rPr>
        <w:t>From an implementation perspective, LP-WUR is expected to be a low-cost receiver, and it is likely that the UE uses a shared RF front-end for both the main receiver (MR) and LP-WUR. In this context, if the LP-WUR is OFDM-based and required to measure SSBs and monitor LP-WUS, then transmitting LP-WUS/LP-SS within the initial DL BWP can significantly simplify the UE design.</w:t>
      </w:r>
    </w:p>
    <w:p w14:paraId="62B4834E" w14:textId="77777777" w:rsidR="008F15AB" w:rsidRPr="008F15AB" w:rsidRDefault="008F15AB" w:rsidP="008F15AB">
      <w:pPr>
        <w:rPr>
          <w:bCs/>
          <w:color w:val="000000" w:themeColor="text1"/>
          <w:lang w:val="en-US"/>
        </w:rPr>
      </w:pPr>
      <w:r w:rsidRPr="008F15AB">
        <w:rPr>
          <w:bCs/>
          <w:color w:val="000000" w:themeColor="text1"/>
          <w:lang w:val="en-US"/>
        </w:rPr>
        <w:t>Specifically:</w:t>
      </w:r>
    </w:p>
    <w:p w14:paraId="421E413F" w14:textId="77777777" w:rsidR="008F15AB" w:rsidRPr="008F15AB" w:rsidRDefault="008F15AB" w:rsidP="008F15AB">
      <w:pPr>
        <w:numPr>
          <w:ilvl w:val="0"/>
          <w:numId w:val="35"/>
        </w:numPr>
        <w:rPr>
          <w:bCs/>
          <w:color w:val="000000" w:themeColor="text1"/>
          <w:lang w:val="en-US"/>
        </w:rPr>
      </w:pPr>
      <w:r w:rsidRPr="008F15AB">
        <w:rPr>
          <w:bCs/>
          <w:color w:val="000000" w:themeColor="text1"/>
          <w:lang w:val="en-US"/>
        </w:rPr>
        <w:t xml:space="preserve">It avoids the need for RF frequency </w:t>
      </w:r>
      <w:proofErr w:type="gramStart"/>
      <w:r w:rsidRPr="008F15AB">
        <w:rPr>
          <w:bCs/>
          <w:color w:val="000000" w:themeColor="text1"/>
          <w:lang w:val="en-US"/>
        </w:rPr>
        <w:t>retuning</w:t>
      </w:r>
      <w:proofErr w:type="gramEnd"/>
      <w:r w:rsidRPr="008F15AB">
        <w:rPr>
          <w:bCs/>
          <w:color w:val="000000" w:themeColor="text1"/>
          <w:lang w:val="en-US"/>
        </w:rPr>
        <w:t> before and after SSB reception.</w:t>
      </w:r>
    </w:p>
    <w:p w14:paraId="1DB9D5AC" w14:textId="77777777" w:rsidR="008F15AB" w:rsidRPr="008F15AB" w:rsidRDefault="008F15AB" w:rsidP="008F15AB">
      <w:pPr>
        <w:numPr>
          <w:ilvl w:val="0"/>
          <w:numId w:val="35"/>
        </w:numPr>
        <w:rPr>
          <w:bCs/>
          <w:color w:val="000000" w:themeColor="text1"/>
          <w:lang w:val="en-US"/>
        </w:rPr>
      </w:pPr>
      <w:r w:rsidRPr="008F15AB">
        <w:rPr>
          <w:bCs/>
          <w:color w:val="000000" w:themeColor="text1"/>
          <w:lang w:val="en-US"/>
        </w:rPr>
        <w:t>It enables simpler signal processing and synchronization, especially when LP-WUR shares hardware resources with the MR.</w:t>
      </w:r>
    </w:p>
    <w:p w14:paraId="7D46DB68" w14:textId="77777777" w:rsidR="008F15AB" w:rsidRPr="008F15AB" w:rsidRDefault="008F15AB" w:rsidP="008F15AB">
      <w:pPr>
        <w:numPr>
          <w:ilvl w:val="0"/>
          <w:numId w:val="35"/>
        </w:numPr>
        <w:rPr>
          <w:bCs/>
          <w:color w:val="000000" w:themeColor="text1"/>
          <w:lang w:val="en-US"/>
        </w:rPr>
      </w:pPr>
      <w:r w:rsidRPr="008F15AB">
        <w:rPr>
          <w:bCs/>
          <w:color w:val="000000" w:themeColor="text1"/>
          <w:lang w:val="en-US"/>
        </w:rPr>
        <w:t>It reduces implementation complexity and power consumption, which are critical for low-power devices.</w:t>
      </w:r>
    </w:p>
    <w:p w14:paraId="225C2044" w14:textId="77777777" w:rsidR="008F15AB" w:rsidRPr="008F15AB" w:rsidRDefault="008F15AB" w:rsidP="008F15AB">
      <w:pPr>
        <w:rPr>
          <w:bCs/>
          <w:color w:val="000000" w:themeColor="text1"/>
          <w:lang w:val="en-US"/>
        </w:rPr>
      </w:pPr>
      <w:r w:rsidRPr="008F15AB">
        <w:rPr>
          <w:bCs/>
          <w:color w:val="000000" w:themeColor="text1"/>
          <w:lang w:val="en-US"/>
        </w:rPr>
        <w:t>Therefore, the frequency placement of LP-WUS/LP-SS relative to the initial DL BWP has a direct impact on UE complexity and cost. To support simpler UE designs, we propose that LP-WUS/LP-SS be transmitted within the initial DL BWP, preferably within CORESET#0, which is already used for initial control signaling.</w:t>
      </w:r>
    </w:p>
    <w:p w14:paraId="434E915E" w14:textId="77777777" w:rsidR="008F15AB" w:rsidRPr="008F15AB" w:rsidRDefault="008F15AB" w:rsidP="009E7328">
      <w:pPr>
        <w:rPr>
          <w:b/>
          <w:bCs/>
          <w:color w:val="000000" w:themeColor="text1"/>
          <w:lang w:val="en-US"/>
        </w:rPr>
      </w:pPr>
      <w:r w:rsidRPr="008F15AB">
        <w:rPr>
          <w:b/>
          <w:bCs/>
          <w:color w:val="000000" w:themeColor="text1"/>
          <w:lang w:val="en-US"/>
        </w:rPr>
        <w:t xml:space="preserve">Observation: A large frequency separation between SSB and LP-WUS may require frequent RF </w:t>
      </w:r>
      <w:proofErr w:type="gramStart"/>
      <w:r w:rsidRPr="008F15AB">
        <w:rPr>
          <w:b/>
          <w:bCs/>
          <w:color w:val="000000" w:themeColor="text1"/>
          <w:lang w:val="en-US"/>
        </w:rPr>
        <w:t>retuning</w:t>
      </w:r>
      <w:proofErr w:type="gramEnd"/>
      <w:r w:rsidRPr="008F15AB">
        <w:rPr>
          <w:b/>
          <w:bCs/>
          <w:color w:val="000000" w:themeColor="text1"/>
          <w:lang w:val="en-US"/>
        </w:rPr>
        <w:t xml:space="preserve"> on the LP-WUR, increasing complexity and power consumption.</w:t>
      </w:r>
    </w:p>
    <w:p w14:paraId="382B939F" w14:textId="2AECEEF9" w:rsidR="008F15AB" w:rsidRPr="008F15AB" w:rsidRDefault="008F15AB" w:rsidP="009E7328">
      <w:pPr>
        <w:rPr>
          <w:b/>
          <w:bCs/>
          <w:color w:val="000000" w:themeColor="text1"/>
          <w:lang w:val="en-US"/>
        </w:rPr>
      </w:pPr>
      <w:r w:rsidRPr="008F15AB">
        <w:rPr>
          <w:b/>
          <w:bCs/>
          <w:color w:val="000000" w:themeColor="text1"/>
          <w:lang w:val="en-US"/>
        </w:rPr>
        <w:t xml:space="preserve">Proposal </w:t>
      </w:r>
      <w:r w:rsidR="00984772">
        <w:rPr>
          <w:b/>
          <w:bCs/>
          <w:color w:val="000000" w:themeColor="text1"/>
          <w:lang w:val="en-US"/>
        </w:rPr>
        <w:t>7</w:t>
      </w:r>
      <w:r w:rsidRPr="008F15AB">
        <w:rPr>
          <w:b/>
          <w:bCs/>
          <w:color w:val="000000" w:themeColor="text1"/>
          <w:lang w:val="en-US"/>
        </w:rPr>
        <w:t xml:space="preserve">: </w:t>
      </w:r>
      <w:r w:rsidR="00B058EB">
        <w:rPr>
          <w:b/>
          <w:bCs/>
          <w:color w:val="000000" w:themeColor="text1"/>
          <w:lang w:val="en-US"/>
        </w:rPr>
        <w:t xml:space="preserve">RAN4 requirements on LP-WUR are </w:t>
      </w:r>
      <w:r w:rsidR="00CD41D7">
        <w:rPr>
          <w:b/>
          <w:bCs/>
          <w:color w:val="000000" w:themeColor="text1"/>
          <w:lang w:val="en-US"/>
        </w:rPr>
        <w:t>applicable only</w:t>
      </w:r>
      <w:r w:rsidR="00B058EB">
        <w:rPr>
          <w:b/>
          <w:bCs/>
          <w:color w:val="000000" w:themeColor="text1"/>
          <w:lang w:val="en-US"/>
        </w:rPr>
        <w:t xml:space="preserve"> when </w:t>
      </w:r>
      <w:r w:rsidRPr="008F15AB">
        <w:rPr>
          <w:b/>
          <w:bCs/>
          <w:color w:val="000000" w:themeColor="text1"/>
          <w:lang w:val="en-US"/>
        </w:rPr>
        <w:t xml:space="preserve">LP-WUS/LP-SS </w:t>
      </w:r>
      <w:r w:rsidR="00CD41D7">
        <w:rPr>
          <w:b/>
          <w:bCs/>
          <w:color w:val="000000" w:themeColor="text1"/>
          <w:lang w:val="en-US"/>
        </w:rPr>
        <w:t>is</w:t>
      </w:r>
      <w:r w:rsidRPr="008F15AB">
        <w:rPr>
          <w:b/>
          <w:bCs/>
          <w:color w:val="000000" w:themeColor="text1"/>
          <w:lang w:val="en-US"/>
        </w:rPr>
        <w:t xml:space="preserve"> transmitted within the initial DL BWP of the UE.</w:t>
      </w:r>
    </w:p>
    <w:p w14:paraId="7A98C740" w14:textId="4E39BE25" w:rsidR="002A6BB3" w:rsidRDefault="00AC1830" w:rsidP="00360F01">
      <w:pPr>
        <w:pStyle w:val="Heading1"/>
        <w:rPr>
          <w:lang w:eastAsia="zh-CN"/>
        </w:rPr>
      </w:pPr>
      <w:r>
        <w:rPr>
          <w:lang w:eastAsia="zh-CN"/>
        </w:rPr>
        <w:t>Conclusion</w:t>
      </w:r>
    </w:p>
    <w:p w14:paraId="77F5FB5E" w14:textId="77777777" w:rsidR="001C4832" w:rsidRPr="0085022B" w:rsidRDefault="001C4832" w:rsidP="001C4832">
      <w:pPr>
        <w:rPr>
          <w:lang w:val="en-US" w:eastAsia="zh-CN"/>
        </w:rPr>
      </w:pPr>
      <w:r w:rsidRPr="0085022B">
        <w:rPr>
          <w:b/>
          <w:bCs/>
          <w:lang w:val="en-US" w:eastAsia="zh-CN"/>
        </w:rPr>
        <w:t>Proposal 1</w:t>
      </w:r>
      <w:r w:rsidRPr="0085022B">
        <w:rPr>
          <w:lang w:val="en-US" w:eastAsia="zh-CN"/>
        </w:rPr>
        <w:t xml:space="preserve">: </w:t>
      </w:r>
      <w:r w:rsidRPr="0085022B">
        <w:rPr>
          <w:b/>
          <w:bCs/>
          <w:lang w:val="en-US" w:eastAsia="zh-CN"/>
        </w:rPr>
        <w:t xml:space="preserve">Specify LP-WUR measurement and evaluation requirements in FR2 by scaling the FR1 requirements using </w:t>
      </w:r>
      <w:proofErr w:type="gramStart"/>
      <w:r w:rsidRPr="0085022B">
        <w:rPr>
          <w:b/>
          <w:bCs/>
          <w:lang w:val="en-US" w:eastAsia="zh-CN"/>
        </w:rPr>
        <w:t>a beam</w:t>
      </w:r>
      <w:proofErr w:type="gramEnd"/>
      <w:r w:rsidRPr="0085022B">
        <w:rPr>
          <w:b/>
          <w:bCs/>
          <w:lang w:val="en-US" w:eastAsia="zh-CN"/>
        </w:rPr>
        <w:t xml:space="preserve"> sweeping factor N1.</w:t>
      </w:r>
    </w:p>
    <w:p w14:paraId="32B94221" w14:textId="77777777" w:rsidR="001C4832" w:rsidRPr="0085022B" w:rsidRDefault="001C4832" w:rsidP="001C4832">
      <w:pPr>
        <w:rPr>
          <w:lang w:val="en-US" w:eastAsia="zh-CN"/>
        </w:rPr>
      </w:pPr>
      <w:r w:rsidRPr="0085022B">
        <w:rPr>
          <w:b/>
          <w:bCs/>
          <w:lang w:val="en-US" w:eastAsia="zh-CN"/>
        </w:rPr>
        <w:lastRenderedPageBreak/>
        <w:t>Proposal 2</w:t>
      </w:r>
      <w:r w:rsidRPr="0085022B">
        <w:rPr>
          <w:lang w:val="en-US" w:eastAsia="zh-CN"/>
        </w:rPr>
        <w:t xml:space="preserve">: </w:t>
      </w:r>
      <w:r w:rsidRPr="0085022B">
        <w:rPr>
          <w:b/>
          <w:bCs/>
          <w:lang w:val="en-US" w:eastAsia="zh-CN"/>
        </w:rPr>
        <w:t xml:space="preserve">For SSB-based measurements, assume N1 is equal to the number of Rx beams used by </w:t>
      </w:r>
      <w:proofErr w:type="gramStart"/>
      <w:r w:rsidRPr="0085022B">
        <w:rPr>
          <w:b/>
          <w:bCs/>
          <w:lang w:val="en-US" w:eastAsia="zh-CN"/>
        </w:rPr>
        <w:t>the MR</w:t>
      </w:r>
      <w:proofErr w:type="gramEnd"/>
      <w:r w:rsidRPr="0085022B">
        <w:rPr>
          <w:b/>
          <w:bCs/>
          <w:lang w:val="en-US" w:eastAsia="zh-CN"/>
        </w:rPr>
        <w:t>.</w:t>
      </w:r>
    </w:p>
    <w:p w14:paraId="4065D1F9" w14:textId="082AC4EF" w:rsidR="00E50557" w:rsidRDefault="001C4832" w:rsidP="001C4832">
      <w:pPr>
        <w:rPr>
          <w:lang w:val="en-US" w:eastAsia="zh-CN"/>
        </w:rPr>
      </w:pPr>
      <w:r w:rsidRPr="0085022B">
        <w:rPr>
          <w:b/>
          <w:bCs/>
          <w:lang w:val="en-US" w:eastAsia="zh-CN"/>
        </w:rPr>
        <w:t>Proposal 3</w:t>
      </w:r>
      <w:r w:rsidRPr="0085022B">
        <w:rPr>
          <w:lang w:val="en-US" w:eastAsia="zh-CN"/>
        </w:rPr>
        <w:t xml:space="preserve">: </w:t>
      </w:r>
      <w:r w:rsidRPr="0085022B">
        <w:rPr>
          <w:b/>
          <w:bCs/>
          <w:lang w:val="en-US" w:eastAsia="zh-CN"/>
        </w:rPr>
        <w:t>For OOK-based measurements, assume N1 = 8</w:t>
      </w:r>
      <w:r w:rsidRPr="0085022B">
        <w:rPr>
          <w:lang w:val="en-US" w:eastAsia="zh-CN"/>
        </w:rPr>
        <w:t>.</w:t>
      </w:r>
    </w:p>
    <w:p w14:paraId="5AC7AB9E" w14:textId="77777777" w:rsidR="002A4870" w:rsidRPr="002A4870" w:rsidRDefault="002A4870" w:rsidP="002A4870">
      <w:pPr>
        <w:rPr>
          <w:b/>
          <w:bCs/>
          <w:lang w:val="en-US" w:eastAsia="zh-CN"/>
        </w:rPr>
      </w:pPr>
      <w:r w:rsidRPr="002A4870">
        <w:rPr>
          <w:b/>
          <w:bCs/>
          <w:lang w:val="en-US" w:eastAsia="zh-CN"/>
        </w:rPr>
        <w:t xml:space="preserve">Proposal 4: The target measurement accuracy requirements for FR2 is 1.5 dB worse than FR1, to account for the additional RF inaccuracy. </w:t>
      </w:r>
    </w:p>
    <w:p w14:paraId="5FCBDD3E" w14:textId="50912DD2" w:rsidR="001C4832" w:rsidRPr="0085022B" w:rsidRDefault="001C4832" w:rsidP="001C4832">
      <w:pPr>
        <w:rPr>
          <w:lang w:val="en-US" w:eastAsia="zh-CN"/>
        </w:rPr>
      </w:pPr>
      <w:r w:rsidRPr="0085022B">
        <w:rPr>
          <w:b/>
          <w:bCs/>
          <w:lang w:val="en-US" w:eastAsia="zh-CN"/>
        </w:rPr>
        <w:t xml:space="preserve">Proposal </w:t>
      </w:r>
      <w:r w:rsidR="00984772">
        <w:rPr>
          <w:b/>
          <w:bCs/>
          <w:lang w:val="en-US" w:eastAsia="zh-CN"/>
        </w:rPr>
        <w:t>5</w:t>
      </w:r>
      <w:r w:rsidRPr="0085022B">
        <w:rPr>
          <w:lang w:val="en-US" w:eastAsia="zh-CN"/>
        </w:rPr>
        <w:t xml:space="preserve">: </w:t>
      </w:r>
      <w:r w:rsidRPr="0085022B">
        <w:rPr>
          <w:b/>
          <w:bCs/>
          <w:lang w:val="en-US" w:eastAsia="zh-CN"/>
        </w:rPr>
        <w:t>For MR-based relaxed serving and neighbor cell measurements in FR2, reuse the measurement relaxation factor of 16</w:t>
      </w:r>
      <w:r w:rsidR="00891A0B">
        <w:rPr>
          <w:b/>
          <w:bCs/>
          <w:lang w:val="en-US" w:eastAsia="zh-CN"/>
        </w:rPr>
        <w:t xml:space="preserve"> as</w:t>
      </w:r>
      <w:r w:rsidRPr="0085022B">
        <w:rPr>
          <w:b/>
          <w:bCs/>
          <w:lang w:val="en-US" w:eastAsia="zh-CN"/>
        </w:rPr>
        <w:t> agreed for FR1</w:t>
      </w:r>
      <w:r w:rsidRPr="0085022B">
        <w:rPr>
          <w:lang w:val="en-US" w:eastAsia="zh-CN"/>
        </w:rPr>
        <w:t>.</w:t>
      </w:r>
    </w:p>
    <w:p w14:paraId="595D0969" w14:textId="038E57CC" w:rsidR="001C4832" w:rsidRPr="00DF4D1A" w:rsidRDefault="001C4832" w:rsidP="001C4832">
      <w:pPr>
        <w:rPr>
          <w:lang w:eastAsia="zh-CN"/>
        </w:rPr>
      </w:pPr>
      <w:r w:rsidRPr="00482654">
        <w:rPr>
          <w:b/>
          <w:color w:val="000000" w:themeColor="text1"/>
        </w:rPr>
        <w:t xml:space="preserve">Proposal </w:t>
      </w:r>
      <w:r w:rsidR="00984772">
        <w:rPr>
          <w:b/>
          <w:color w:val="000000" w:themeColor="text1"/>
        </w:rPr>
        <w:t>6</w:t>
      </w:r>
      <w:r w:rsidRPr="00482654">
        <w:rPr>
          <w:b/>
          <w:color w:val="000000" w:themeColor="text1"/>
        </w:rPr>
        <w:t xml:space="preserve">: </w:t>
      </w:r>
      <w:r>
        <w:rPr>
          <w:b/>
          <w:color w:val="000000" w:themeColor="text1"/>
        </w:rPr>
        <w:t>RAN4 to specify RRM requirements for LP-WUR operation only for eDRX without PTW (i.e.,</w:t>
      </w:r>
      <w:r w:rsidRPr="00B724D9">
        <w:rPr>
          <w:lang w:eastAsia="zh-CN"/>
        </w:rPr>
        <w:t xml:space="preserve"> </w:t>
      </w:r>
      <w:r w:rsidRPr="00B724D9">
        <w:rPr>
          <w:b/>
          <w:bCs/>
          <w:lang w:eastAsia="zh-CN"/>
        </w:rPr>
        <w:t>eDRX cycles &lt;</w:t>
      </w:r>
      <w:r>
        <w:rPr>
          <w:b/>
          <w:bCs/>
          <w:lang w:eastAsia="zh-CN"/>
        </w:rPr>
        <w:t>=</w:t>
      </w:r>
      <w:r w:rsidRPr="00B724D9">
        <w:rPr>
          <w:b/>
          <w:bCs/>
          <w:lang w:eastAsia="zh-CN"/>
        </w:rPr>
        <w:t>10.24s</w:t>
      </w:r>
      <w:r>
        <w:rPr>
          <w:b/>
          <w:color w:val="000000" w:themeColor="text1"/>
        </w:rPr>
        <w:t>).</w:t>
      </w:r>
    </w:p>
    <w:p w14:paraId="3CE17E5D" w14:textId="31E29779" w:rsidR="00CD41D7" w:rsidRPr="008F15AB" w:rsidRDefault="00CD41D7" w:rsidP="00CD41D7">
      <w:pPr>
        <w:rPr>
          <w:b/>
          <w:bCs/>
          <w:color w:val="000000" w:themeColor="text1"/>
          <w:lang w:val="en-US"/>
        </w:rPr>
      </w:pPr>
      <w:r w:rsidRPr="008F15AB">
        <w:rPr>
          <w:b/>
          <w:bCs/>
          <w:color w:val="000000" w:themeColor="text1"/>
          <w:lang w:val="en-US"/>
        </w:rPr>
        <w:t xml:space="preserve">Proposal </w:t>
      </w:r>
      <w:r w:rsidR="00984772">
        <w:rPr>
          <w:b/>
          <w:bCs/>
          <w:color w:val="000000" w:themeColor="text1"/>
          <w:lang w:val="en-US"/>
        </w:rPr>
        <w:t>7</w:t>
      </w:r>
      <w:r w:rsidRPr="008F15AB">
        <w:rPr>
          <w:b/>
          <w:bCs/>
          <w:color w:val="000000" w:themeColor="text1"/>
          <w:lang w:val="en-US"/>
        </w:rPr>
        <w:t xml:space="preserve">: </w:t>
      </w:r>
      <w:r>
        <w:rPr>
          <w:b/>
          <w:bCs/>
          <w:color w:val="000000" w:themeColor="text1"/>
          <w:lang w:val="en-US"/>
        </w:rPr>
        <w:t xml:space="preserve">RAN4 requirements on LP-WUR are applicable only when </w:t>
      </w:r>
      <w:r w:rsidRPr="008F15AB">
        <w:rPr>
          <w:b/>
          <w:bCs/>
          <w:color w:val="000000" w:themeColor="text1"/>
          <w:lang w:val="en-US"/>
        </w:rPr>
        <w:t xml:space="preserve">LP-WUS/LP-SS </w:t>
      </w:r>
      <w:r>
        <w:rPr>
          <w:b/>
          <w:bCs/>
          <w:color w:val="000000" w:themeColor="text1"/>
          <w:lang w:val="en-US"/>
        </w:rPr>
        <w:t>is</w:t>
      </w:r>
      <w:r w:rsidRPr="008F15AB">
        <w:rPr>
          <w:b/>
          <w:bCs/>
          <w:color w:val="000000" w:themeColor="text1"/>
          <w:lang w:val="en-US"/>
        </w:rPr>
        <w:t xml:space="preserve"> transmitted within the initial DL BWP of the UE.</w:t>
      </w:r>
    </w:p>
    <w:p w14:paraId="13FCE315" w14:textId="77777777" w:rsidR="00DA25EC" w:rsidRDefault="00DA25EC" w:rsidP="00360F01">
      <w:pPr>
        <w:pStyle w:val="Heading1"/>
        <w:numPr>
          <w:ilvl w:val="0"/>
          <w:numId w:val="0"/>
        </w:numPr>
        <w:rPr>
          <w:lang w:val="en-US"/>
        </w:rPr>
      </w:pPr>
      <w:r>
        <w:rPr>
          <w:lang w:val="en-US"/>
        </w:rPr>
        <w:t>References</w:t>
      </w:r>
    </w:p>
    <w:p w14:paraId="34BF7699" w14:textId="5A2B97F0" w:rsidR="005761AE" w:rsidRDefault="005761AE" w:rsidP="00360F01">
      <w:pPr>
        <w:rPr>
          <w:lang w:val="en-US"/>
        </w:rPr>
      </w:pPr>
      <w:r>
        <w:rPr>
          <w:lang w:val="en-US"/>
        </w:rPr>
        <w:t>[</w:t>
      </w:r>
      <w:r w:rsidR="00FB4F1B">
        <w:rPr>
          <w:lang w:val="en-US"/>
        </w:rPr>
        <w:t>1</w:t>
      </w:r>
      <w:r>
        <w:rPr>
          <w:lang w:val="en-US"/>
        </w:rPr>
        <w:t>]</w:t>
      </w:r>
      <w:r w:rsidR="00A0223B" w:rsidRPr="00A0223B">
        <w:t xml:space="preserve"> </w:t>
      </w:r>
      <w:r w:rsidR="00014D27" w:rsidRPr="00014D27">
        <w:rPr>
          <w:lang w:val="en-US"/>
        </w:rPr>
        <w:tab/>
      </w:r>
      <w:r w:rsidR="007B0422" w:rsidRPr="007B0422">
        <w:rPr>
          <w:lang w:val="en-US"/>
        </w:rPr>
        <w:t>RP-240801</w:t>
      </w:r>
      <w:r w:rsidR="007B0422">
        <w:rPr>
          <w:lang w:val="en-US"/>
        </w:rPr>
        <w:t>,</w:t>
      </w:r>
      <w:r w:rsidR="007B0422" w:rsidRPr="007B0422">
        <w:rPr>
          <w:lang w:val="en-US"/>
        </w:rPr>
        <w:t xml:space="preserve"> </w:t>
      </w:r>
      <w:r w:rsidR="007B0422">
        <w:rPr>
          <w:lang w:val="en-US"/>
        </w:rPr>
        <w:t>“</w:t>
      </w:r>
      <w:r w:rsidR="007B0422" w:rsidRPr="007B0422">
        <w:rPr>
          <w:lang w:val="en-US"/>
        </w:rPr>
        <w:t>Revised WID Low-power wake-up signal and receiver for NR (LP-WUS_WUR)</w:t>
      </w:r>
      <w:r w:rsidR="007B0422">
        <w:rPr>
          <w:lang w:val="en-US"/>
        </w:rPr>
        <w:t xml:space="preserve">”, vivo, </w:t>
      </w:r>
      <w:r w:rsidR="00261792" w:rsidRPr="00261792">
        <w:rPr>
          <w:lang w:val="en-US"/>
        </w:rPr>
        <w:t>RAN#103</w:t>
      </w:r>
    </w:p>
    <w:p w14:paraId="54C60DDB" w14:textId="1634E61B" w:rsidR="001752C8" w:rsidRDefault="001752C8" w:rsidP="001752C8">
      <w:pPr>
        <w:rPr>
          <w:lang w:val="en-US"/>
        </w:rPr>
      </w:pPr>
      <w:r>
        <w:rPr>
          <w:lang w:val="en-US"/>
        </w:rPr>
        <w:t>[2]</w:t>
      </w:r>
      <w:r w:rsidRPr="00A0223B">
        <w:t xml:space="preserve"> </w:t>
      </w:r>
      <w:r w:rsidR="00EF6A75" w:rsidRPr="00EF6A75">
        <w:rPr>
          <w:lang w:val="en-US"/>
        </w:rPr>
        <w:t>R4-2406367</w:t>
      </w:r>
      <w:r>
        <w:rPr>
          <w:lang w:val="en-US"/>
        </w:rPr>
        <w:t>,</w:t>
      </w:r>
      <w:r w:rsidRPr="007B0422">
        <w:rPr>
          <w:lang w:val="en-US"/>
        </w:rPr>
        <w:t xml:space="preserve"> </w:t>
      </w:r>
      <w:r>
        <w:rPr>
          <w:lang w:val="en-US"/>
        </w:rPr>
        <w:t>“</w:t>
      </w:r>
      <w:r w:rsidR="00796210" w:rsidRPr="00796210">
        <w:rPr>
          <w:lang w:val="en-US"/>
        </w:rPr>
        <w:t>WF for RRM requirements for LP-WUSWUR</w:t>
      </w:r>
      <w:r>
        <w:rPr>
          <w:lang w:val="en-US"/>
        </w:rPr>
        <w:t xml:space="preserve">”, vivo, </w:t>
      </w:r>
      <w:r w:rsidRPr="00261792">
        <w:rPr>
          <w:lang w:val="en-US"/>
        </w:rPr>
        <w:t>RAN</w:t>
      </w:r>
      <w:r w:rsidR="005A3500">
        <w:rPr>
          <w:lang w:val="en-US"/>
        </w:rPr>
        <w:t>4</w:t>
      </w:r>
      <w:r w:rsidRPr="00261792">
        <w:rPr>
          <w:lang w:val="en-US"/>
        </w:rPr>
        <w:t>#1</w:t>
      </w:r>
      <w:r w:rsidR="005A3500">
        <w:rPr>
          <w:lang w:val="en-US"/>
        </w:rPr>
        <w:t>10bis</w:t>
      </w:r>
    </w:p>
    <w:p w14:paraId="4A6B17AE" w14:textId="4D84ED61" w:rsidR="00E17E74" w:rsidRDefault="00E17E74" w:rsidP="00E17E74">
      <w:pPr>
        <w:rPr>
          <w:lang w:val="en-US"/>
        </w:rPr>
      </w:pPr>
      <w:r>
        <w:rPr>
          <w:lang w:val="en-US"/>
        </w:rPr>
        <w:t>[3]</w:t>
      </w:r>
      <w:r w:rsidRPr="00A0223B">
        <w:t xml:space="preserve"> </w:t>
      </w:r>
      <w:r w:rsidR="00E41CA9" w:rsidRPr="00E41CA9">
        <w:rPr>
          <w:lang w:val="en-US"/>
        </w:rPr>
        <w:t>R4-2410296</w:t>
      </w:r>
      <w:r>
        <w:rPr>
          <w:lang w:val="en-US"/>
        </w:rPr>
        <w:t>,</w:t>
      </w:r>
      <w:r w:rsidRPr="007B0422">
        <w:rPr>
          <w:lang w:val="en-US"/>
        </w:rPr>
        <w:t xml:space="preserve"> </w:t>
      </w:r>
      <w:r>
        <w:rPr>
          <w:lang w:val="en-US"/>
        </w:rPr>
        <w:t>“</w:t>
      </w:r>
      <w:r w:rsidRPr="00796210">
        <w:rPr>
          <w:lang w:val="en-US"/>
        </w:rPr>
        <w:t>WF for RRM requirements for LP-WUSWUR</w:t>
      </w:r>
      <w:r>
        <w:rPr>
          <w:lang w:val="en-US"/>
        </w:rPr>
        <w:t xml:space="preserve">”, vivo, </w:t>
      </w:r>
      <w:r w:rsidRPr="00261792">
        <w:rPr>
          <w:lang w:val="en-US"/>
        </w:rPr>
        <w:t>RAN</w:t>
      </w:r>
      <w:r>
        <w:rPr>
          <w:lang w:val="en-US"/>
        </w:rPr>
        <w:t>4</w:t>
      </w:r>
      <w:r w:rsidRPr="00261792">
        <w:rPr>
          <w:lang w:val="en-US"/>
        </w:rPr>
        <w:t>#1</w:t>
      </w:r>
      <w:r>
        <w:rPr>
          <w:lang w:val="en-US"/>
        </w:rPr>
        <w:t>1</w:t>
      </w:r>
      <w:r w:rsidR="00E41CA9">
        <w:rPr>
          <w:lang w:val="en-US"/>
        </w:rPr>
        <w:t>1</w:t>
      </w:r>
    </w:p>
    <w:p w14:paraId="427B7D79" w14:textId="64AB9684" w:rsidR="00E16955" w:rsidRDefault="0052451E" w:rsidP="00E17E74">
      <w:pPr>
        <w:rPr>
          <w:lang w:val="en-US"/>
        </w:rPr>
      </w:pPr>
      <w:r>
        <w:rPr>
          <w:lang w:val="en-US"/>
        </w:rPr>
        <w:t xml:space="preserve">[4] </w:t>
      </w:r>
      <w:r w:rsidR="003901F3" w:rsidRPr="003901F3">
        <w:rPr>
          <w:lang w:val="en-US"/>
        </w:rPr>
        <w:t>R4-2413899</w:t>
      </w:r>
      <w:r w:rsidR="003901F3">
        <w:rPr>
          <w:lang w:val="en-US"/>
        </w:rPr>
        <w:t>, “</w:t>
      </w:r>
      <w:r w:rsidR="004859E4" w:rsidRPr="004859E4">
        <w:rPr>
          <w:lang w:val="en-US"/>
        </w:rPr>
        <w:t>WF for RRM core requirements for LP-WUSWUR</w:t>
      </w:r>
      <w:r w:rsidR="003901F3">
        <w:rPr>
          <w:lang w:val="en-US"/>
        </w:rPr>
        <w:t>”</w:t>
      </w:r>
      <w:r w:rsidR="004859E4">
        <w:rPr>
          <w:lang w:val="en-US"/>
        </w:rPr>
        <w:t xml:space="preserve">, vivo, </w:t>
      </w:r>
      <w:r w:rsidR="004859E4" w:rsidRPr="00261792">
        <w:rPr>
          <w:lang w:val="en-US"/>
        </w:rPr>
        <w:t>RAN</w:t>
      </w:r>
      <w:r w:rsidR="004859E4">
        <w:rPr>
          <w:lang w:val="en-US"/>
        </w:rPr>
        <w:t>4</w:t>
      </w:r>
      <w:r w:rsidR="004859E4" w:rsidRPr="00261792">
        <w:rPr>
          <w:lang w:val="en-US"/>
        </w:rPr>
        <w:t>#1</w:t>
      </w:r>
      <w:r w:rsidR="004859E4">
        <w:rPr>
          <w:lang w:val="en-US"/>
        </w:rPr>
        <w:t>12</w:t>
      </w:r>
    </w:p>
    <w:p w14:paraId="20C6E715" w14:textId="3CCC9FC8" w:rsidR="00111DDD" w:rsidRDefault="00111DDD" w:rsidP="00111DDD">
      <w:pPr>
        <w:rPr>
          <w:lang w:val="en-US"/>
        </w:rPr>
      </w:pPr>
      <w:r>
        <w:rPr>
          <w:lang w:val="en-US"/>
        </w:rPr>
        <w:t xml:space="preserve">[5] </w:t>
      </w:r>
      <w:r w:rsidRPr="003901F3">
        <w:rPr>
          <w:lang w:val="en-US"/>
        </w:rPr>
        <w:t>R4-241</w:t>
      </w:r>
      <w:r w:rsidR="00CE1657">
        <w:rPr>
          <w:lang w:val="en-US"/>
        </w:rPr>
        <w:t>6861</w:t>
      </w:r>
      <w:r>
        <w:rPr>
          <w:lang w:val="en-US"/>
        </w:rPr>
        <w:t>, “</w:t>
      </w:r>
      <w:r w:rsidRPr="004859E4">
        <w:rPr>
          <w:lang w:val="en-US"/>
        </w:rPr>
        <w:t>WF for RRM core requirements for LP-WUSWUR</w:t>
      </w:r>
      <w:r>
        <w:rPr>
          <w:lang w:val="en-US"/>
        </w:rPr>
        <w:t xml:space="preserve">”, vivo, </w:t>
      </w:r>
      <w:r w:rsidRPr="00261792">
        <w:rPr>
          <w:lang w:val="en-US"/>
        </w:rPr>
        <w:t>RAN</w:t>
      </w:r>
      <w:r>
        <w:rPr>
          <w:lang w:val="en-US"/>
        </w:rPr>
        <w:t>4</w:t>
      </w:r>
      <w:r w:rsidRPr="00261792">
        <w:rPr>
          <w:lang w:val="en-US"/>
        </w:rPr>
        <w:t>#1</w:t>
      </w:r>
      <w:r>
        <w:rPr>
          <w:lang w:val="en-US"/>
        </w:rPr>
        <w:t>12</w:t>
      </w:r>
      <w:r w:rsidR="00CE1657">
        <w:rPr>
          <w:lang w:val="en-US"/>
        </w:rPr>
        <w:t>bis</w:t>
      </w:r>
    </w:p>
    <w:p w14:paraId="7450C1E6" w14:textId="14D11CF1" w:rsidR="00DD0FD3" w:rsidRDefault="00DD0FD3" w:rsidP="00DD0FD3">
      <w:pPr>
        <w:rPr>
          <w:lang w:val="en-US"/>
        </w:rPr>
      </w:pPr>
      <w:r>
        <w:rPr>
          <w:lang w:val="en-US"/>
        </w:rPr>
        <w:t xml:space="preserve">[6] </w:t>
      </w:r>
      <w:r w:rsidRPr="003901F3">
        <w:rPr>
          <w:lang w:val="en-US"/>
        </w:rPr>
        <w:t>R4-24</w:t>
      </w:r>
      <w:r>
        <w:rPr>
          <w:lang w:val="en-US"/>
        </w:rPr>
        <w:t>20100, “</w:t>
      </w:r>
      <w:r w:rsidRPr="004859E4">
        <w:rPr>
          <w:lang w:val="en-US"/>
        </w:rPr>
        <w:t>WF for RRM core requirements for LP-WUSWUR</w:t>
      </w:r>
      <w:r>
        <w:rPr>
          <w:lang w:val="en-US"/>
        </w:rPr>
        <w:t xml:space="preserve">”, vivo, </w:t>
      </w:r>
      <w:r w:rsidRPr="00261792">
        <w:rPr>
          <w:lang w:val="en-US"/>
        </w:rPr>
        <w:t>RAN</w:t>
      </w:r>
      <w:r>
        <w:rPr>
          <w:lang w:val="en-US"/>
        </w:rPr>
        <w:t>4</w:t>
      </w:r>
      <w:r w:rsidRPr="00261792">
        <w:rPr>
          <w:lang w:val="en-US"/>
        </w:rPr>
        <w:t>#1</w:t>
      </w:r>
      <w:r>
        <w:rPr>
          <w:lang w:val="en-US"/>
        </w:rPr>
        <w:t>13</w:t>
      </w:r>
    </w:p>
    <w:p w14:paraId="0AB4040B" w14:textId="020B814D" w:rsidR="006D7270" w:rsidRDefault="006D7270" w:rsidP="006D7270">
      <w:pPr>
        <w:rPr>
          <w:lang w:val="en-US"/>
        </w:rPr>
      </w:pPr>
      <w:r>
        <w:rPr>
          <w:lang w:val="en-US"/>
        </w:rPr>
        <w:t xml:space="preserve">[7] </w:t>
      </w:r>
      <w:r w:rsidR="00C82E34" w:rsidRPr="00C82E34">
        <w:rPr>
          <w:lang w:val="en-US"/>
        </w:rPr>
        <w:t>R4-2502600</w:t>
      </w:r>
      <w:r>
        <w:rPr>
          <w:lang w:val="en-US"/>
        </w:rPr>
        <w:t>, “</w:t>
      </w:r>
      <w:r w:rsidRPr="004859E4">
        <w:rPr>
          <w:lang w:val="en-US"/>
        </w:rPr>
        <w:t>WF for RRM core requirements for LP-WUSWUR</w:t>
      </w:r>
      <w:r>
        <w:rPr>
          <w:lang w:val="en-US"/>
        </w:rPr>
        <w:t xml:space="preserve">”, vivo, </w:t>
      </w:r>
      <w:r w:rsidRPr="00261792">
        <w:rPr>
          <w:lang w:val="en-US"/>
        </w:rPr>
        <w:t>RAN</w:t>
      </w:r>
      <w:r>
        <w:rPr>
          <w:lang w:val="en-US"/>
        </w:rPr>
        <w:t>4</w:t>
      </w:r>
      <w:r w:rsidRPr="00261792">
        <w:rPr>
          <w:lang w:val="en-US"/>
        </w:rPr>
        <w:t>#1</w:t>
      </w:r>
      <w:r>
        <w:rPr>
          <w:lang w:val="en-US"/>
        </w:rPr>
        <w:t>1</w:t>
      </w:r>
      <w:r w:rsidR="00BF7A29">
        <w:rPr>
          <w:lang w:val="en-US"/>
        </w:rPr>
        <w:t>4</w:t>
      </w:r>
    </w:p>
    <w:p w14:paraId="7143B235" w14:textId="473F65AD" w:rsidR="00BF7A29" w:rsidRDefault="00BF7A29" w:rsidP="006D7270">
      <w:pPr>
        <w:rPr>
          <w:lang w:val="en-US"/>
        </w:rPr>
      </w:pPr>
      <w:r>
        <w:rPr>
          <w:lang w:val="en-US"/>
        </w:rPr>
        <w:t xml:space="preserve">[8] </w:t>
      </w:r>
      <w:r w:rsidRPr="00C82E34">
        <w:rPr>
          <w:lang w:val="en-US"/>
        </w:rPr>
        <w:t>R4-250</w:t>
      </w:r>
      <w:r w:rsidR="00D86DD5">
        <w:rPr>
          <w:lang w:val="en-US"/>
        </w:rPr>
        <w:t>4908</w:t>
      </w:r>
      <w:r>
        <w:rPr>
          <w:lang w:val="en-US"/>
        </w:rPr>
        <w:t>, “</w:t>
      </w:r>
      <w:r w:rsidRPr="004859E4">
        <w:rPr>
          <w:lang w:val="en-US"/>
        </w:rPr>
        <w:t>WF for RRM core requirements for LP-WUSWUR</w:t>
      </w:r>
      <w:r>
        <w:rPr>
          <w:lang w:val="en-US"/>
        </w:rPr>
        <w:t xml:space="preserve">”, vivo, </w:t>
      </w:r>
      <w:r w:rsidRPr="00261792">
        <w:rPr>
          <w:lang w:val="en-US"/>
        </w:rPr>
        <w:t>RAN</w:t>
      </w:r>
      <w:r>
        <w:rPr>
          <w:lang w:val="en-US"/>
        </w:rPr>
        <w:t>4</w:t>
      </w:r>
      <w:r w:rsidRPr="00261792">
        <w:rPr>
          <w:lang w:val="en-US"/>
        </w:rPr>
        <w:t>#1</w:t>
      </w:r>
      <w:r>
        <w:rPr>
          <w:lang w:val="en-US"/>
        </w:rPr>
        <w:t>14bis</w:t>
      </w:r>
    </w:p>
    <w:p w14:paraId="0A7A4A23" w14:textId="67AB5F3A" w:rsidR="00612636" w:rsidRDefault="00612636" w:rsidP="00612636">
      <w:pPr>
        <w:rPr>
          <w:lang w:val="en-US"/>
        </w:rPr>
      </w:pPr>
      <w:r>
        <w:rPr>
          <w:lang w:val="en-US"/>
        </w:rPr>
        <w:t xml:space="preserve">[9] </w:t>
      </w:r>
      <w:r w:rsidRPr="00C82E34">
        <w:rPr>
          <w:lang w:val="en-US"/>
        </w:rPr>
        <w:t>R4-250</w:t>
      </w:r>
      <w:r w:rsidR="00F476F6">
        <w:rPr>
          <w:lang w:val="en-US"/>
        </w:rPr>
        <w:t>8280</w:t>
      </w:r>
      <w:r>
        <w:rPr>
          <w:lang w:val="en-US"/>
        </w:rPr>
        <w:t>, “</w:t>
      </w:r>
      <w:r w:rsidRPr="004859E4">
        <w:rPr>
          <w:lang w:val="en-US"/>
        </w:rPr>
        <w:t>WF for RRM core requirements for LP-WUSWUR</w:t>
      </w:r>
      <w:r>
        <w:rPr>
          <w:lang w:val="en-US"/>
        </w:rPr>
        <w:t xml:space="preserve">”, vivo, </w:t>
      </w:r>
      <w:r w:rsidRPr="00261792">
        <w:rPr>
          <w:lang w:val="en-US"/>
        </w:rPr>
        <w:t>RAN</w:t>
      </w:r>
      <w:r>
        <w:rPr>
          <w:lang w:val="en-US"/>
        </w:rPr>
        <w:t>4</w:t>
      </w:r>
      <w:r w:rsidRPr="00261792">
        <w:rPr>
          <w:lang w:val="en-US"/>
        </w:rPr>
        <w:t>#1</w:t>
      </w:r>
      <w:r>
        <w:rPr>
          <w:lang w:val="en-US"/>
        </w:rPr>
        <w:t>15</w:t>
      </w:r>
    </w:p>
    <w:p w14:paraId="13A67483" w14:textId="77777777" w:rsidR="00111DDD" w:rsidRDefault="00111DDD" w:rsidP="00E17E74">
      <w:pPr>
        <w:rPr>
          <w:lang w:val="en-US"/>
        </w:rPr>
      </w:pPr>
    </w:p>
    <w:p w14:paraId="17F8A818" w14:textId="4D0E6033" w:rsidR="001752C8" w:rsidRDefault="001752C8" w:rsidP="00360F01">
      <w:pPr>
        <w:rPr>
          <w:lang w:val="en-US"/>
        </w:rPr>
      </w:pPr>
    </w:p>
    <w:sectPr w:rsidR="001752C8"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BAFB9" w14:textId="77777777" w:rsidR="00061CA7" w:rsidRDefault="00061CA7">
      <w:r>
        <w:separator/>
      </w:r>
    </w:p>
  </w:endnote>
  <w:endnote w:type="continuationSeparator" w:id="0">
    <w:p w14:paraId="200847E1" w14:textId="77777777" w:rsidR="00061CA7" w:rsidRDefault="00061CA7">
      <w:r>
        <w:continuationSeparator/>
      </w:r>
    </w:p>
  </w:endnote>
  <w:endnote w:type="continuationNotice" w:id="1">
    <w:p w14:paraId="1CEC5491" w14:textId="77777777" w:rsidR="00061CA7" w:rsidRDefault="00061C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2ACC4" w14:textId="77777777" w:rsidR="00061CA7" w:rsidRDefault="00061CA7">
      <w:r>
        <w:separator/>
      </w:r>
    </w:p>
  </w:footnote>
  <w:footnote w:type="continuationSeparator" w:id="0">
    <w:p w14:paraId="588AD349" w14:textId="77777777" w:rsidR="00061CA7" w:rsidRDefault="00061CA7">
      <w:r>
        <w:continuationSeparator/>
      </w:r>
    </w:p>
  </w:footnote>
  <w:footnote w:type="continuationNotice" w:id="1">
    <w:p w14:paraId="6B3C7FAF" w14:textId="77777777" w:rsidR="00061CA7" w:rsidRDefault="00061C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1A973D21"/>
    <w:multiLevelType w:val="multilevel"/>
    <w:tmpl w:val="B78AC5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E1099B"/>
    <w:multiLevelType w:val="multilevel"/>
    <w:tmpl w:val="498E5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6568D0"/>
    <w:multiLevelType w:val="hybridMultilevel"/>
    <w:tmpl w:val="8B969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812572"/>
    <w:multiLevelType w:val="multilevel"/>
    <w:tmpl w:val="A39621B0"/>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8"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817674"/>
    <w:multiLevelType w:val="multilevel"/>
    <w:tmpl w:val="30B4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CF0D6C"/>
    <w:multiLevelType w:val="hybridMultilevel"/>
    <w:tmpl w:val="FCA60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4"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6" w15:restartNumberingAfterBreak="0">
    <w:nsid w:val="491D33D5"/>
    <w:multiLevelType w:val="multilevel"/>
    <w:tmpl w:val="45240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5E463A"/>
    <w:multiLevelType w:val="hybridMultilevel"/>
    <w:tmpl w:val="C4103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9455F"/>
    <w:multiLevelType w:val="multilevel"/>
    <w:tmpl w:val="1624A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D4575CD"/>
    <w:multiLevelType w:val="multilevel"/>
    <w:tmpl w:val="3628E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5"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FF31DE"/>
    <w:multiLevelType w:val="multilevel"/>
    <w:tmpl w:val="B39E2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8FA55D3"/>
    <w:multiLevelType w:val="hybridMultilevel"/>
    <w:tmpl w:val="8070E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3641C3"/>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7351627">
    <w:abstractNumId w:val="13"/>
  </w:num>
  <w:num w:numId="2" w16cid:durableId="1702169165">
    <w:abstractNumId w:val="26"/>
  </w:num>
  <w:num w:numId="3" w16cid:durableId="896598194">
    <w:abstractNumId w:val="34"/>
  </w:num>
  <w:num w:numId="4" w16cid:durableId="1065757783">
    <w:abstractNumId w:val="6"/>
  </w:num>
  <w:num w:numId="5" w16cid:durableId="187126082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1"/>
  </w:num>
  <w:num w:numId="7" w16cid:durableId="1429883403">
    <w:abstractNumId w:val="27"/>
  </w:num>
  <w:num w:numId="8" w16cid:durableId="1230581766">
    <w:abstractNumId w:val="19"/>
  </w:num>
  <w:num w:numId="9" w16cid:durableId="266666612">
    <w:abstractNumId w:val="20"/>
  </w:num>
  <w:num w:numId="10" w16cid:durableId="1603030076">
    <w:abstractNumId w:val="23"/>
  </w:num>
  <w:num w:numId="11" w16cid:durableId="472792961">
    <w:abstractNumId w:val="25"/>
  </w:num>
  <w:num w:numId="12" w16cid:durableId="1585843583">
    <w:abstractNumId w:val="0"/>
  </w:num>
  <w:num w:numId="13" w16cid:durableId="1922985393">
    <w:abstractNumId w:val="31"/>
  </w:num>
  <w:num w:numId="14" w16cid:durableId="1941915425">
    <w:abstractNumId w:val="30"/>
  </w:num>
  <w:num w:numId="15" w16cid:durableId="524372425">
    <w:abstractNumId w:val="3"/>
  </w:num>
  <w:num w:numId="16" w16cid:durableId="1433237244">
    <w:abstractNumId w:val="28"/>
  </w:num>
  <w:num w:numId="17" w16cid:durableId="12735130">
    <w:abstractNumId w:val="9"/>
  </w:num>
  <w:num w:numId="18" w16cid:durableId="1022626817">
    <w:abstractNumId w:val="8"/>
  </w:num>
  <w:num w:numId="19" w16cid:durableId="159850087">
    <w:abstractNumId w:val="14"/>
  </w:num>
  <w:num w:numId="20" w16cid:durableId="537209534">
    <w:abstractNumId w:val="11"/>
  </w:num>
  <w:num w:numId="21" w16cid:durableId="1579439529">
    <w:abstractNumId w:val="32"/>
  </w:num>
  <w:num w:numId="22" w16cid:durableId="551428890">
    <w:abstractNumId w:val="35"/>
  </w:num>
  <w:num w:numId="23" w16cid:durableId="1515067675">
    <w:abstractNumId w:val="15"/>
  </w:num>
  <w:num w:numId="24" w16cid:durableId="110827545">
    <w:abstractNumId w:val="24"/>
  </w:num>
  <w:num w:numId="25" w16cid:durableId="523596052">
    <w:abstractNumId w:val="17"/>
  </w:num>
  <w:num w:numId="26" w16cid:durableId="1108088006">
    <w:abstractNumId w:val="21"/>
  </w:num>
  <w:num w:numId="27" w16cid:durableId="1436831513">
    <w:abstractNumId w:val="5"/>
  </w:num>
  <w:num w:numId="28" w16cid:durableId="1206873546">
    <w:abstractNumId w:val="10"/>
  </w:num>
  <w:num w:numId="29" w16cid:durableId="1788887240">
    <w:abstractNumId w:val="33"/>
  </w:num>
  <w:num w:numId="30" w16cid:durableId="87509406">
    <w:abstractNumId w:val="12"/>
  </w:num>
  <w:num w:numId="31" w16cid:durableId="476729325">
    <w:abstractNumId w:val="16"/>
  </w:num>
  <w:num w:numId="32" w16cid:durableId="1279724205">
    <w:abstractNumId w:val="29"/>
  </w:num>
  <w:num w:numId="33" w16cid:durableId="913129367">
    <w:abstractNumId w:val="18"/>
  </w:num>
  <w:num w:numId="34" w16cid:durableId="1897473896">
    <w:abstractNumId w:val="22"/>
  </w:num>
  <w:num w:numId="35" w16cid:durableId="1362168306">
    <w:abstractNumId w:val="4"/>
  </w:num>
  <w:num w:numId="36" w16cid:durableId="174309186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64A"/>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7A9"/>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0A3"/>
    <w:rsid w:val="00023887"/>
    <w:rsid w:val="00023990"/>
    <w:rsid w:val="000239F5"/>
    <w:rsid w:val="00023AE6"/>
    <w:rsid w:val="00023C59"/>
    <w:rsid w:val="0002411A"/>
    <w:rsid w:val="00024216"/>
    <w:rsid w:val="0002438A"/>
    <w:rsid w:val="000243FF"/>
    <w:rsid w:val="000246F5"/>
    <w:rsid w:val="00024860"/>
    <w:rsid w:val="000248EA"/>
    <w:rsid w:val="00024BF2"/>
    <w:rsid w:val="00024C52"/>
    <w:rsid w:val="000263D3"/>
    <w:rsid w:val="0002664B"/>
    <w:rsid w:val="00026A7C"/>
    <w:rsid w:val="00026B5B"/>
    <w:rsid w:val="00026BDF"/>
    <w:rsid w:val="00026C91"/>
    <w:rsid w:val="00026DB4"/>
    <w:rsid w:val="00026E27"/>
    <w:rsid w:val="00026F2E"/>
    <w:rsid w:val="00027229"/>
    <w:rsid w:val="000272C5"/>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253"/>
    <w:rsid w:val="000344EA"/>
    <w:rsid w:val="0003457D"/>
    <w:rsid w:val="000345EF"/>
    <w:rsid w:val="0003485D"/>
    <w:rsid w:val="00034928"/>
    <w:rsid w:val="00034A0D"/>
    <w:rsid w:val="00034BB5"/>
    <w:rsid w:val="00034C6E"/>
    <w:rsid w:val="00034E2F"/>
    <w:rsid w:val="00034EB5"/>
    <w:rsid w:val="00034EED"/>
    <w:rsid w:val="00034F51"/>
    <w:rsid w:val="00034F8D"/>
    <w:rsid w:val="00034F9C"/>
    <w:rsid w:val="0003558C"/>
    <w:rsid w:val="0003567E"/>
    <w:rsid w:val="00035828"/>
    <w:rsid w:val="00035975"/>
    <w:rsid w:val="000359A2"/>
    <w:rsid w:val="00035DBB"/>
    <w:rsid w:val="00035F08"/>
    <w:rsid w:val="0003626F"/>
    <w:rsid w:val="0003633F"/>
    <w:rsid w:val="0003639E"/>
    <w:rsid w:val="0003668C"/>
    <w:rsid w:val="00036874"/>
    <w:rsid w:val="00036DF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1E8D"/>
    <w:rsid w:val="000420FB"/>
    <w:rsid w:val="000421CD"/>
    <w:rsid w:val="00042451"/>
    <w:rsid w:val="000424A5"/>
    <w:rsid w:val="000426FE"/>
    <w:rsid w:val="0004282D"/>
    <w:rsid w:val="00042AC7"/>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7D7"/>
    <w:rsid w:val="00045960"/>
    <w:rsid w:val="00046088"/>
    <w:rsid w:val="000466A9"/>
    <w:rsid w:val="000468F6"/>
    <w:rsid w:val="00046B02"/>
    <w:rsid w:val="00046B95"/>
    <w:rsid w:val="00046C44"/>
    <w:rsid w:val="0004710F"/>
    <w:rsid w:val="0004729A"/>
    <w:rsid w:val="000478B1"/>
    <w:rsid w:val="00047901"/>
    <w:rsid w:val="0004791F"/>
    <w:rsid w:val="0004795F"/>
    <w:rsid w:val="00047A40"/>
    <w:rsid w:val="00047D9F"/>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5CE"/>
    <w:rsid w:val="00055861"/>
    <w:rsid w:val="00055B21"/>
    <w:rsid w:val="00055B93"/>
    <w:rsid w:val="00056255"/>
    <w:rsid w:val="00056822"/>
    <w:rsid w:val="00056AF7"/>
    <w:rsid w:val="00056CA8"/>
    <w:rsid w:val="00057080"/>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1CA7"/>
    <w:rsid w:val="00062128"/>
    <w:rsid w:val="000621D6"/>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7B3"/>
    <w:rsid w:val="00076B1B"/>
    <w:rsid w:val="00076CFC"/>
    <w:rsid w:val="0007706A"/>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2F09"/>
    <w:rsid w:val="00083081"/>
    <w:rsid w:val="0008336D"/>
    <w:rsid w:val="00083439"/>
    <w:rsid w:val="000834A4"/>
    <w:rsid w:val="00083AE8"/>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A3"/>
    <w:rsid w:val="000867CF"/>
    <w:rsid w:val="0008682B"/>
    <w:rsid w:val="000868C5"/>
    <w:rsid w:val="00086E54"/>
    <w:rsid w:val="00086E82"/>
    <w:rsid w:val="000873B2"/>
    <w:rsid w:val="000901F1"/>
    <w:rsid w:val="00090228"/>
    <w:rsid w:val="000904F1"/>
    <w:rsid w:val="00090928"/>
    <w:rsid w:val="00090BB8"/>
    <w:rsid w:val="00090D20"/>
    <w:rsid w:val="0009185A"/>
    <w:rsid w:val="00091B10"/>
    <w:rsid w:val="00092376"/>
    <w:rsid w:val="00092919"/>
    <w:rsid w:val="00092C82"/>
    <w:rsid w:val="00092CBB"/>
    <w:rsid w:val="00092DCA"/>
    <w:rsid w:val="000935E6"/>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2E"/>
    <w:rsid w:val="00096197"/>
    <w:rsid w:val="000961ED"/>
    <w:rsid w:val="000967E5"/>
    <w:rsid w:val="00096ACC"/>
    <w:rsid w:val="00096D4B"/>
    <w:rsid w:val="00096FBB"/>
    <w:rsid w:val="0009715C"/>
    <w:rsid w:val="000972B7"/>
    <w:rsid w:val="000972E8"/>
    <w:rsid w:val="000975EF"/>
    <w:rsid w:val="00097808"/>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265"/>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3E5C"/>
    <w:rsid w:val="000C3E93"/>
    <w:rsid w:val="000C3F29"/>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4FB"/>
    <w:rsid w:val="000C7D4E"/>
    <w:rsid w:val="000C7E14"/>
    <w:rsid w:val="000D01BA"/>
    <w:rsid w:val="000D07FE"/>
    <w:rsid w:val="000D0AD3"/>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81D"/>
    <w:rsid w:val="000D4CE6"/>
    <w:rsid w:val="000D4DF8"/>
    <w:rsid w:val="000D4E0C"/>
    <w:rsid w:val="000D4FDD"/>
    <w:rsid w:val="000D504F"/>
    <w:rsid w:val="000D5517"/>
    <w:rsid w:val="000D55E0"/>
    <w:rsid w:val="000D55E1"/>
    <w:rsid w:val="000D5C59"/>
    <w:rsid w:val="000D5E00"/>
    <w:rsid w:val="000D5F83"/>
    <w:rsid w:val="000D6604"/>
    <w:rsid w:val="000D66EB"/>
    <w:rsid w:val="000D67A3"/>
    <w:rsid w:val="000D68B1"/>
    <w:rsid w:val="000D6983"/>
    <w:rsid w:val="000D6A29"/>
    <w:rsid w:val="000D6A2B"/>
    <w:rsid w:val="000D7223"/>
    <w:rsid w:val="000D7224"/>
    <w:rsid w:val="000D723F"/>
    <w:rsid w:val="000D73A6"/>
    <w:rsid w:val="000D77A5"/>
    <w:rsid w:val="000D784A"/>
    <w:rsid w:val="000D7B88"/>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78"/>
    <w:rsid w:val="000F197F"/>
    <w:rsid w:val="000F1AC0"/>
    <w:rsid w:val="000F1DA5"/>
    <w:rsid w:val="000F20D2"/>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52A8"/>
    <w:rsid w:val="000F5331"/>
    <w:rsid w:val="000F54BF"/>
    <w:rsid w:val="000F554C"/>
    <w:rsid w:val="000F56AE"/>
    <w:rsid w:val="000F56F5"/>
    <w:rsid w:val="000F57AF"/>
    <w:rsid w:val="000F57C2"/>
    <w:rsid w:val="000F5828"/>
    <w:rsid w:val="000F5A74"/>
    <w:rsid w:val="000F5BE3"/>
    <w:rsid w:val="000F5D33"/>
    <w:rsid w:val="000F5EF1"/>
    <w:rsid w:val="000F694A"/>
    <w:rsid w:val="000F6AB3"/>
    <w:rsid w:val="000F6CB5"/>
    <w:rsid w:val="000F724B"/>
    <w:rsid w:val="000F72C2"/>
    <w:rsid w:val="000F7352"/>
    <w:rsid w:val="000F74FD"/>
    <w:rsid w:val="000F78E2"/>
    <w:rsid w:val="000F7C17"/>
    <w:rsid w:val="000F7D44"/>
    <w:rsid w:val="000F7EFD"/>
    <w:rsid w:val="0010001C"/>
    <w:rsid w:val="00100A0E"/>
    <w:rsid w:val="00100B4A"/>
    <w:rsid w:val="00101007"/>
    <w:rsid w:val="00101133"/>
    <w:rsid w:val="00101576"/>
    <w:rsid w:val="0010167E"/>
    <w:rsid w:val="0010188F"/>
    <w:rsid w:val="0010195C"/>
    <w:rsid w:val="00101971"/>
    <w:rsid w:val="00101A5D"/>
    <w:rsid w:val="00101B3D"/>
    <w:rsid w:val="001020A3"/>
    <w:rsid w:val="00102320"/>
    <w:rsid w:val="0010240B"/>
    <w:rsid w:val="00102563"/>
    <w:rsid w:val="001025BB"/>
    <w:rsid w:val="00102AA7"/>
    <w:rsid w:val="00102BD7"/>
    <w:rsid w:val="00102E78"/>
    <w:rsid w:val="0010308C"/>
    <w:rsid w:val="001031B7"/>
    <w:rsid w:val="0010324D"/>
    <w:rsid w:val="00103537"/>
    <w:rsid w:val="001038CE"/>
    <w:rsid w:val="00103AEF"/>
    <w:rsid w:val="00103BAD"/>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DDD"/>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1AA"/>
    <w:rsid w:val="001152CC"/>
    <w:rsid w:val="00115723"/>
    <w:rsid w:val="00115DCE"/>
    <w:rsid w:val="00115EEF"/>
    <w:rsid w:val="00115FFE"/>
    <w:rsid w:val="00116046"/>
    <w:rsid w:val="001161B4"/>
    <w:rsid w:val="001164D2"/>
    <w:rsid w:val="00116759"/>
    <w:rsid w:val="00116F74"/>
    <w:rsid w:val="001173FF"/>
    <w:rsid w:val="001176B7"/>
    <w:rsid w:val="00117C45"/>
    <w:rsid w:val="00117DB0"/>
    <w:rsid w:val="00120028"/>
    <w:rsid w:val="001201CD"/>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663"/>
    <w:rsid w:val="001239DE"/>
    <w:rsid w:val="00123D7C"/>
    <w:rsid w:val="00124252"/>
    <w:rsid w:val="00124802"/>
    <w:rsid w:val="00124944"/>
    <w:rsid w:val="00124CB3"/>
    <w:rsid w:val="00124EC1"/>
    <w:rsid w:val="00125127"/>
    <w:rsid w:val="0012540B"/>
    <w:rsid w:val="0012575F"/>
    <w:rsid w:val="00125C52"/>
    <w:rsid w:val="00125CFC"/>
    <w:rsid w:val="00125E63"/>
    <w:rsid w:val="00125E9E"/>
    <w:rsid w:val="0012648D"/>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436"/>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0"/>
    <w:rsid w:val="001378B9"/>
    <w:rsid w:val="00137912"/>
    <w:rsid w:val="00137B97"/>
    <w:rsid w:val="00137EDB"/>
    <w:rsid w:val="00140147"/>
    <w:rsid w:val="00140363"/>
    <w:rsid w:val="00140419"/>
    <w:rsid w:val="00140862"/>
    <w:rsid w:val="001408A4"/>
    <w:rsid w:val="00140915"/>
    <w:rsid w:val="00140B61"/>
    <w:rsid w:val="0014108C"/>
    <w:rsid w:val="00141262"/>
    <w:rsid w:val="001415CD"/>
    <w:rsid w:val="001415F6"/>
    <w:rsid w:val="00141A32"/>
    <w:rsid w:val="00141F4D"/>
    <w:rsid w:val="00142166"/>
    <w:rsid w:val="001421C5"/>
    <w:rsid w:val="001422AD"/>
    <w:rsid w:val="001423AB"/>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6D"/>
    <w:rsid w:val="00144488"/>
    <w:rsid w:val="00144528"/>
    <w:rsid w:val="001445CF"/>
    <w:rsid w:val="0014489B"/>
    <w:rsid w:val="00144BE2"/>
    <w:rsid w:val="00144C82"/>
    <w:rsid w:val="00144DDF"/>
    <w:rsid w:val="00144F37"/>
    <w:rsid w:val="001458BF"/>
    <w:rsid w:val="00145B35"/>
    <w:rsid w:val="00145C8F"/>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1E23"/>
    <w:rsid w:val="00152169"/>
    <w:rsid w:val="0015228F"/>
    <w:rsid w:val="0015239C"/>
    <w:rsid w:val="001530BD"/>
    <w:rsid w:val="001530DF"/>
    <w:rsid w:val="0015337C"/>
    <w:rsid w:val="001533B1"/>
    <w:rsid w:val="00153515"/>
    <w:rsid w:val="00153822"/>
    <w:rsid w:val="0015383D"/>
    <w:rsid w:val="00153EB8"/>
    <w:rsid w:val="00154025"/>
    <w:rsid w:val="001540F3"/>
    <w:rsid w:val="001541E6"/>
    <w:rsid w:val="00154402"/>
    <w:rsid w:val="0015458B"/>
    <w:rsid w:val="001549DA"/>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2B1"/>
    <w:rsid w:val="0015760F"/>
    <w:rsid w:val="0015766A"/>
    <w:rsid w:val="00157B9F"/>
    <w:rsid w:val="00157CDD"/>
    <w:rsid w:val="00157D5F"/>
    <w:rsid w:val="00157F55"/>
    <w:rsid w:val="00157F63"/>
    <w:rsid w:val="00160007"/>
    <w:rsid w:val="00160296"/>
    <w:rsid w:val="001602D8"/>
    <w:rsid w:val="0016046E"/>
    <w:rsid w:val="0016058B"/>
    <w:rsid w:val="00160732"/>
    <w:rsid w:val="00160812"/>
    <w:rsid w:val="00160AA5"/>
    <w:rsid w:val="00160FD4"/>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2FEB"/>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833"/>
    <w:rsid w:val="00167050"/>
    <w:rsid w:val="001670CA"/>
    <w:rsid w:val="001679C5"/>
    <w:rsid w:val="00167E4C"/>
    <w:rsid w:val="00167EEE"/>
    <w:rsid w:val="00167F07"/>
    <w:rsid w:val="00170246"/>
    <w:rsid w:val="00170570"/>
    <w:rsid w:val="001706FF"/>
    <w:rsid w:val="001709BD"/>
    <w:rsid w:val="001709C0"/>
    <w:rsid w:val="00170C0A"/>
    <w:rsid w:val="00170E74"/>
    <w:rsid w:val="00171228"/>
    <w:rsid w:val="0017171E"/>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4EAD"/>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3E"/>
    <w:rsid w:val="00194F63"/>
    <w:rsid w:val="00195578"/>
    <w:rsid w:val="001956A0"/>
    <w:rsid w:val="00195A89"/>
    <w:rsid w:val="00195FDF"/>
    <w:rsid w:val="001961E0"/>
    <w:rsid w:val="001966D2"/>
    <w:rsid w:val="00196836"/>
    <w:rsid w:val="00196FDA"/>
    <w:rsid w:val="001971C3"/>
    <w:rsid w:val="001972BE"/>
    <w:rsid w:val="001973C5"/>
    <w:rsid w:val="0019779B"/>
    <w:rsid w:val="00197B18"/>
    <w:rsid w:val="00197C26"/>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508"/>
    <w:rsid w:val="001A297B"/>
    <w:rsid w:val="001A2F89"/>
    <w:rsid w:val="001A3553"/>
    <w:rsid w:val="001A3F9E"/>
    <w:rsid w:val="001A49D7"/>
    <w:rsid w:val="001A4A19"/>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BAB"/>
    <w:rsid w:val="001B1CEA"/>
    <w:rsid w:val="001B1E16"/>
    <w:rsid w:val="001B2219"/>
    <w:rsid w:val="001B2401"/>
    <w:rsid w:val="001B2495"/>
    <w:rsid w:val="001B2677"/>
    <w:rsid w:val="001B297C"/>
    <w:rsid w:val="001B2A13"/>
    <w:rsid w:val="001B2C92"/>
    <w:rsid w:val="001B2D18"/>
    <w:rsid w:val="001B3291"/>
    <w:rsid w:val="001B3463"/>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6FD8"/>
    <w:rsid w:val="001B70E2"/>
    <w:rsid w:val="001B795D"/>
    <w:rsid w:val="001B79A8"/>
    <w:rsid w:val="001B7A2C"/>
    <w:rsid w:val="001B7E76"/>
    <w:rsid w:val="001B7EC6"/>
    <w:rsid w:val="001C01B9"/>
    <w:rsid w:val="001C064F"/>
    <w:rsid w:val="001C09EF"/>
    <w:rsid w:val="001C0A55"/>
    <w:rsid w:val="001C0B98"/>
    <w:rsid w:val="001C11F9"/>
    <w:rsid w:val="001C144A"/>
    <w:rsid w:val="001C1821"/>
    <w:rsid w:val="001C186D"/>
    <w:rsid w:val="001C1A9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368"/>
    <w:rsid w:val="001C4493"/>
    <w:rsid w:val="001C4832"/>
    <w:rsid w:val="001C4833"/>
    <w:rsid w:val="001C48F2"/>
    <w:rsid w:val="001C4AAD"/>
    <w:rsid w:val="001C4C6D"/>
    <w:rsid w:val="001C5007"/>
    <w:rsid w:val="001C50D5"/>
    <w:rsid w:val="001C54F3"/>
    <w:rsid w:val="001C5D8B"/>
    <w:rsid w:val="001C5DB8"/>
    <w:rsid w:val="001C5F78"/>
    <w:rsid w:val="001C6147"/>
    <w:rsid w:val="001C649F"/>
    <w:rsid w:val="001C6C98"/>
    <w:rsid w:val="001C71F2"/>
    <w:rsid w:val="001C7409"/>
    <w:rsid w:val="001C7AB5"/>
    <w:rsid w:val="001C7CB9"/>
    <w:rsid w:val="001C7FE6"/>
    <w:rsid w:val="001D01F2"/>
    <w:rsid w:val="001D0433"/>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069"/>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A6C"/>
    <w:rsid w:val="001D7AB0"/>
    <w:rsid w:val="001D7BA7"/>
    <w:rsid w:val="001E075B"/>
    <w:rsid w:val="001E08BE"/>
    <w:rsid w:val="001E0BE0"/>
    <w:rsid w:val="001E0D4B"/>
    <w:rsid w:val="001E0D7E"/>
    <w:rsid w:val="001E0F4F"/>
    <w:rsid w:val="001E1023"/>
    <w:rsid w:val="001E1039"/>
    <w:rsid w:val="001E1225"/>
    <w:rsid w:val="001E15C8"/>
    <w:rsid w:val="001E187A"/>
    <w:rsid w:val="001E1B10"/>
    <w:rsid w:val="001E1B2E"/>
    <w:rsid w:val="001E1C0D"/>
    <w:rsid w:val="001E21BF"/>
    <w:rsid w:val="001E21F7"/>
    <w:rsid w:val="001E23E2"/>
    <w:rsid w:val="001E2916"/>
    <w:rsid w:val="001E2D37"/>
    <w:rsid w:val="001E2EF6"/>
    <w:rsid w:val="001E31AC"/>
    <w:rsid w:val="001E31EE"/>
    <w:rsid w:val="001E32E0"/>
    <w:rsid w:val="001E3571"/>
    <w:rsid w:val="001E3974"/>
    <w:rsid w:val="001E3EAD"/>
    <w:rsid w:val="001E3ECE"/>
    <w:rsid w:val="001E4185"/>
    <w:rsid w:val="001E432B"/>
    <w:rsid w:val="001E443A"/>
    <w:rsid w:val="001E45BA"/>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783"/>
    <w:rsid w:val="001E7803"/>
    <w:rsid w:val="001E78E7"/>
    <w:rsid w:val="001E7D1A"/>
    <w:rsid w:val="001E7E63"/>
    <w:rsid w:val="001F007F"/>
    <w:rsid w:val="001F01AA"/>
    <w:rsid w:val="001F0390"/>
    <w:rsid w:val="001F03BA"/>
    <w:rsid w:val="001F099B"/>
    <w:rsid w:val="001F0A62"/>
    <w:rsid w:val="001F1006"/>
    <w:rsid w:val="001F161C"/>
    <w:rsid w:val="001F174E"/>
    <w:rsid w:val="001F1AFB"/>
    <w:rsid w:val="001F1E8A"/>
    <w:rsid w:val="001F229B"/>
    <w:rsid w:val="001F255B"/>
    <w:rsid w:val="001F2584"/>
    <w:rsid w:val="001F2871"/>
    <w:rsid w:val="001F2BBC"/>
    <w:rsid w:val="001F2C22"/>
    <w:rsid w:val="001F2F28"/>
    <w:rsid w:val="001F305A"/>
    <w:rsid w:val="001F343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4297"/>
    <w:rsid w:val="00205462"/>
    <w:rsid w:val="00205B87"/>
    <w:rsid w:val="00205F3B"/>
    <w:rsid w:val="002064D1"/>
    <w:rsid w:val="002069A6"/>
    <w:rsid w:val="00206B0D"/>
    <w:rsid w:val="00207361"/>
    <w:rsid w:val="002074ED"/>
    <w:rsid w:val="00207505"/>
    <w:rsid w:val="002076F3"/>
    <w:rsid w:val="00207B8E"/>
    <w:rsid w:val="002106A6"/>
    <w:rsid w:val="0021083C"/>
    <w:rsid w:val="00210AC8"/>
    <w:rsid w:val="00211030"/>
    <w:rsid w:val="002111D4"/>
    <w:rsid w:val="002119E3"/>
    <w:rsid w:val="00211BBF"/>
    <w:rsid w:val="002121D7"/>
    <w:rsid w:val="0021261E"/>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6E7F"/>
    <w:rsid w:val="002171D0"/>
    <w:rsid w:val="00217290"/>
    <w:rsid w:val="00217556"/>
    <w:rsid w:val="002175F8"/>
    <w:rsid w:val="0021763A"/>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39A"/>
    <w:rsid w:val="00243641"/>
    <w:rsid w:val="002437DD"/>
    <w:rsid w:val="00244113"/>
    <w:rsid w:val="0024412D"/>
    <w:rsid w:val="0024446E"/>
    <w:rsid w:val="00244540"/>
    <w:rsid w:val="0024454E"/>
    <w:rsid w:val="00244AC6"/>
    <w:rsid w:val="00244D6C"/>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175"/>
    <w:rsid w:val="00250259"/>
    <w:rsid w:val="00250281"/>
    <w:rsid w:val="00250815"/>
    <w:rsid w:val="00250F16"/>
    <w:rsid w:val="002510E5"/>
    <w:rsid w:val="002514E8"/>
    <w:rsid w:val="002517FA"/>
    <w:rsid w:val="00251E2C"/>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40"/>
    <w:rsid w:val="002553E6"/>
    <w:rsid w:val="002555F0"/>
    <w:rsid w:val="00255817"/>
    <w:rsid w:val="00255948"/>
    <w:rsid w:val="002559A4"/>
    <w:rsid w:val="00255C09"/>
    <w:rsid w:val="00255E50"/>
    <w:rsid w:val="002560F6"/>
    <w:rsid w:val="0025626A"/>
    <w:rsid w:val="00256328"/>
    <w:rsid w:val="0025665A"/>
    <w:rsid w:val="00256DC2"/>
    <w:rsid w:val="00256EEE"/>
    <w:rsid w:val="0025702B"/>
    <w:rsid w:val="00257239"/>
    <w:rsid w:val="0025726D"/>
    <w:rsid w:val="00257C19"/>
    <w:rsid w:val="00257C28"/>
    <w:rsid w:val="00260006"/>
    <w:rsid w:val="0026038A"/>
    <w:rsid w:val="002604B0"/>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0A3"/>
    <w:rsid w:val="002661E7"/>
    <w:rsid w:val="002662C5"/>
    <w:rsid w:val="002662E2"/>
    <w:rsid w:val="00266622"/>
    <w:rsid w:val="00266CAB"/>
    <w:rsid w:val="002671F7"/>
    <w:rsid w:val="0026741D"/>
    <w:rsid w:val="002676BB"/>
    <w:rsid w:val="00267702"/>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7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0C3B"/>
    <w:rsid w:val="002911C1"/>
    <w:rsid w:val="00291427"/>
    <w:rsid w:val="002918D7"/>
    <w:rsid w:val="00291CFD"/>
    <w:rsid w:val="00291E02"/>
    <w:rsid w:val="00291FC1"/>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9D1"/>
    <w:rsid w:val="002A2A0A"/>
    <w:rsid w:val="002A2BD7"/>
    <w:rsid w:val="002A2D42"/>
    <w:rsid w:val="002A2E64"/>
    <w:rsid w:val="002A3172"/>
    <w:rsid w:val="002A3539"/>
    <w:rsid w:val="002A3790"/>
    <w:rsid w:val="002A3BFD"/>
    <w:rsid w:val="002A3CE0"/>
    <w:rsid w:val="002A3D19"/>
    <w:rsid w:val="002A429C"/>
    <w:rsid w:val="002A429E"/>
    <w:rsid w:val="002A439C"/>
    <w:rsid w:val="002A4870"/>
    <w:rsid w:val="002A4B2C"/>
    <w:rsid w:val="002A4E9A"/>
    <w:rsid w:val="002A5089"/>
    <w:rsid w:val="002A569B"/>
    <w:rsid w:val="002A5C74"/>
    <w:rsid w:val="002A61D2"/>
    <w:rsid w:val="002A63F8"/>
    <w:rsid w:val="002A676A"/>
    <w:rsid w:val="002A6AD1"/>
    <w:rsid w:val="002A6BB3"/>
    <w:rsid w:val="002A6E5F"/>
    <w:rsid w:val="002A6EC3"/>
    <w:rsid w:val="002A6F0D"/>
    <w:rsid w:val="002A7007"/>
    <w:rsid w:val="002A725F"/>
    <w:rsid w:val="002A7345"/>
    <w:rsid w:val="002A7425"/>
    <w:rsid w:val="002A7F08"/>
    <w:rsid w:val="002B000D"/>
    <w:rsid w:val="002B0225"/>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23D"/>
    <w:rsid w:val="002B34C0"/>
    <w:rsid w:val="002B34EB"/>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8E0"/>
    <w:rsid w:val="002B69C9"/>
    <w:rsid w:val="002B717C"/>
    <w:rsid w:val="002B72D7"/>
    <w:rsid w:val="002B738D"/>
    <w:rsid w:val="002B75CC"/>
    <w:rsid w:val="002B75FC"/>
    <w:rsid w:val="002B7A9E"/>
    <w:rsid w:val="002B7BC5"/>
    <w:rsid w:val="002B7C3A"/>
    <w:rsid w:val="002C034B"/>
    <w:rsid w:val="002C03E4"/>
    <w:rsid w:val="002C0811"/>
    <w:rsid w:val="002C088E"/>
    <w:rsid w:val="002C08CB"/>
    <w:rsid w:val="002C08D0"/>
    <w:rsid w:val="002C0A56"/>
    <w:rsid w:val="002C15E3"/>
    <w:rsid w:val="002C1639"/>
    <w:rsid w:val="002C16E7"/>
    <w:rsid w:val="002C17F5"/>
    <w:rsid w:val="002C17FA"/>
    <w:rsid w:val="002C18D8"/>
    <w:rsid w:val="002C1E1E"/>
    <w:rsid w:val="002C1FF5"/>
    <w:rsid w:val="002C22FB"/>
    <w:rsid w:val="002C24AD"/>
    <w:rsid w:val="002C2616"/>
    <w:rsid w:val="002C2654"/>
    <w:rsid w:val="002C27CE"/>
    <w:rsid w:val="002C2D5B"/>
    <w:rsid w:val="002C2F4D"/>
    <w:rsid w:val="002C3345"/>
    <w:rsid w:val="002C339D"/>
    <w:rsid w:val="002C3478"/>
    <w:rsid w:val="002C36F2"/>
    <w:rsid w:val="002C38B4"/>
    <w:rsid w:val="002C3BB2"/>
    <w:rsid w:val="002C3E8F"/>
    <w:rsid w:val="002C40A1"/>
    <w:rsid w:val="002C46B3"/>
    <w:rsid w:val="002C46EA"/>
    <w:rsid w:val="002C4749"/>
    <w:rsid w:val="002C484B"/>
    <w:rsid w:val="002C4BAE"/>
    <w:rsid w:val="002C4C8F"/>
    <w:rsid w:val="002C4E58"/>
    <w:rsid w:val="002C4F22"/>
    <w:rsid w:val="002C4F68"/>
    <w:rsid w:val="002C5212"/>
    <w:rsid w:val="002C5381"/>
    <w:rsid w:val="002C5E75"/>
    <w:rsid w:val="002C5F12"/>
    <w:rsid w:val="002C605E"/>
    <w:rsid w:val="002C62B9"/>
    <w:rsid w:val="002C6700"/>
    <w:rsid w:val="002C6891"/>
    <w:rsid w:val="002C6A56"/>
    <w:rsid w:val="002C6A83"/>
    <w:rsid w:val="002C6F2C"/>
    <w:rsid w:val="002C720E"/>
    <w:rsid w:val="002C73B3"/>
    <w:rsid w:val="002C7598"/>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660"/>
    <w:rsid w:val="002D282D"/>
    <w:rsid w:val="002D2956"/>
    <w:rsid w:val="002D2ADE"/>
    <w:rsid w:val="002D2F41"/>
    <w:rsid w:val="002D2F64"/>
    <w:rsid w:val="002D34E6"/>
    <w:rsid w:val="002D371B"/>
    <w:rsid w:val="002D3739"/>
    <w:rsid w:val="002D3AFF"/>
    <w:rsid w:val="002D3CCA"/>
    <w:rsid w:val="002D3E06"/>
    <w:rsid w:val="002D3EC4"/>
    <w:rsid w:val="002D4020"/>
    <w:rsid w:val="002D465B"/>
    <w:rsid w:val="002D467C"/>
    <w:rsid w:val="002D4732"/>
    <w:rsid w:val="002D4919"/>
    <w:rsid w:val="002D4A80"/>
    <w:rsid w:val="002D4F07"/>
    <w:rsid w:val="002D5154"/>
    <w:rsid w:val="002D5652"/>
    <w:rsid w:val="002D5DDD"/>
    <w:rsid w:val="002D5FB1"/>
    <w:rsid w:val="002D6076"/>
    <w:rsid w:val="002D60AC"/>
    <w:rsid w:val="002D6137"/>
    <w:rsid w:val="002D6252"/>
    <w:rsid w:val="002D62D5"/>
    <w:rsid w:val="002D6707"/>
    <w:rsid w:val="002D68DD"/>
    <w:rsid w:val="002D6A77"/>
    <w:rsid w:val="002D7382"/>
    <w:rsid w:val="002D73F9"/>
    <w:rsid w:val="002D74E0"/>
    <w:rsid w:val="002D7845"/>
    <w:rsid w:val="002D7A31"/>
    <w:rsid w:val="002E01A6"/>
    <w:rsid w:val="002E0337"/>
    <w:rsid w:val="002E036F"/>
    <w:rsid w:val="002E08F2"/>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72E"/>
    <w:rsid w:val="002E3A54"/>
    <w:rsid w:val="002E3BD7"/>
    <w:rsid w:val="002E3C34"/>
    <w:rsid w:val="002E3F75"/>
    <w:rsid w:val="002E407E"/>
    <w:rsid w:val="002E45C3"/>
    <w:rsid w:val="002E4956"/>
    <w:rsid w:val="002E4B2D"/>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5B8"/>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BA"/>
    <w:rsid w:val="002F6388"/>
    <w:rsid w:val="002F6405"/>
    <w:rsid w:val="002F6570"/>
    <w:rsid w:val="002F6A8C"/>
    <w:rsid w:val="002F6C2A"/>
    <w:rsid w:val="002F74D8"/>
    <w:rsid w:val="002F7510"/>
    <w:rsid w:val="002F771B"/>
    <w:rsid w:val="002F7BAD"/>
    <w:rsid w:val="002F7E3E"/>
    <w:rsid w:val="0030014B"/>
    <w:rsid w:val="00300266"/>
    <w:rsid w:val="003002E2"/>
    <w:rsid w:val="00300433"/>
    <w:rsid w:val="00300526"/>
    <w:rsid w:val="003006E7"/>
    <w:rsid w:val="00300A06"/>
    <w:rsid w:val="00300A8D"/>
    <w:rsid w:val="00300B17"/>
    <w:rsid w:val="00301134"/>
    <w:rsid w:val="0030122D"/>
    <w:rsid w:val="00301236"/>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4F9B"/>
    <w:rsid w:val="00305064"/>
    <w:rsid w:val="0030511C"/>
    <w:rsid w:val="00305128"/>
    <w:rsid w:val="0030512B"/>
    <w:rsid w:val="00305212"/>
    <w:rsid w:val="003052C0"/>
    <w:rsid w:val="003055AE"/>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97"/>
    <w:rsid w:val="003244B5"/>
    <w:rsid w:val="0032488E"/>
    <w:rsid w:val="00324937"/>
    <w:rsid w:val="00324B48"/>
    <w:rsid w:val="00324E3C"/>
    <w:rsid w:val="00324F44"/>
    <w:rsid w:val="00324F75"/>
    <w:rsid w:val="003250FE"/>
    <w:rsid w:val="00325971"/>
    <w:rsid w:val="003259D4"/>
    <w:rsid w:val="00325B53"/>
    <w:rsid w:val="00325C68"/>
    <w:rsid w:val="00325CE7"/>
    <w:rsid w:val="00325FFD"/>
    <w:rsid w:val="00326129"/>
    <w:rsid w:val="00326482"/>
    <w:rsid w:val="0032698A"/>
    <w:rsid w:val="00326B38"/>
    <w:rsid w:val="00326C22"/>
    <w:rsid w:val="00326C9F"/>
    <w:rsid w:val="0032733A"/>
    <w:rsid w:val="00327387"/>
    <w:rsid w:val="003276E3"/>
    <w:rsid w:val="00327B03"/>
    <w:rsid w:val="00327EF9"/>
    <w:rsid w:val="003301E9"/>
    <w:rsid w:val="00330243"/>
    <w:rsid w:val="00330256"/>
    <w:rsid w:val="003304C7"/>
    <w:rsid w:val="00330666"/>
    <w:rsid w:val="0033081A"/>
    <w:rsid w:val="003308AF"/>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2E"/>
    <w:rsid w:val="00335EA4"/>
    <w:rsid w:val="00335F86"/>
    <w:rsid w:val="00335FE1"/>
    <w:rsid w:val="003362D8"/>
    <w:rsid w:val="003365BB"/>
    <w:rsid w:val="00336A6E"/>
    <w:rsid w:val="00336F23"/>
    <w:rsid w:val="00336F9E"/>
    <w:rsid w:val="00337613"/>
    <w:rsid w:val="00337A5E"/>
    <w:rsid w:val="00337D04"/>
    <w:rsid w:val="00337E89"/>
    <w:rsid w:val="0034005D"/>
    <w:rsid w:val="003401DA"/>
    <w:rsid w:val="00340208"/>
    <w:rsid w:val="00340426"/>
    <w:rsid w:val="00340B5E"/>
    <w:rsid w:val="00340D7A"/>
    <w:rsid w:val="00340F1B"/>
    <w:rsid w:val="0034157C"/>
    <w:rsid w:val="00341852"/>
    <w:rsid w:val="0034236D"/>
    <w:rsid w:val="003427B0"/>
    <w:rsid w:val="003427F4"/>
    <w:rsid w:val="00342850"/>
    <w:rsid w:val="003428FD"/>
    <w:rsid w:val="00342B3A"/>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715"/>
    <w:rsid w:val="00345CD4"/>
    <w:rsid w:val="00345CDD"/>
    <w:rsid w:val="00345E45"/>
    <w:rsid w:val="00345E8D"/>
    <w:rsid w:val="00345FF9"/>
    <w:rsid w:val="0034613F"/>
    <w:rsid w:val="0034624D"/>
    <w:rsid w:val="003465E1"/>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069"/>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9F8"/>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186"/>
    <w:rsid w:val="00367246"/>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9AF"/>
    <w:rsid w:val="00383E30"/>
    <w:rsid w:val="003840E7"/>
    <w:rsid w:val="00384213"/>
    <w:rsid w:val="00384A48"/>
    <w:rsid w:val="00384C3E"/>
    <w:rsid w:val="00384DC1"/>
    <w:rsid w:val="00384EC3"/>
    <w:rsid w:val="00384F3E"/>
    <w:rsid w:val="00385043"/>
    <w:rsid w:val="003850E8"/>
    <w:rsid w:val="00385635"/>
    <w:rsid w:val="00385D1B"/>
    <w:rsid w:val="00385D57"/>
    <w:rsid w:val="00386006"/>
    <w:rsid w:val="00386098"/>
    <w:rsid w:val="003861E5"/>
    <w:rsid w:val="00386381"/>
    <w:rsid w:val="0038645C"/>
    <w:rsid w:val="003868A2"/>
    <w:rsid w:val="00386966"/>
    <w:rsid w:val="003869C2"/>
    <w:rsid w:val="00386D4D"/>
    <w:rsid w:val="00386E0F"/>
    <w:rsid w:val="00386FD3"/>
    <w:rsid w:val="003870AA"/>
    <w:rsid w:val="003870CC"/>
    <w:rsid w:val="00387178"/>
    <w:rsid w:val="003873A6"/>
    <w:rsid w:val="00387643"/>
    <w:rsid w:val="0038781B"/>
    <w:rsid w:val="00387867"/>
    <w:rsid w:val="003878CD"/>
    <w:rsid w:val="00387B1F"/>
    <w:rsid w:val="00387BA4"/>
    <w:rsid w:val="00387BFD"/>
    <w:rsid w:val="00387DB3"/>
    <w:rsid w:val="00390017"/>
    <w:rsid w:val="003901F3"/>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1F83"/>
    <w:rsid w:val="0039273C"/>
    <w:rsid w:val="003927C8"/>
    <w:rsid w:val="003928AD"/>
    <w:rsid w:val="0039294B"/>
    <w:rsid w:val="00392A45"/>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A3D"/>
    <w:rsid w:val="003A0B43"/>
    <w:rsid w:val="003A0BC4"/>
    <w:rsid w:val="003A0E78"/>
    <w:rsid w:val="003A0F9A"/>
    <w:rsid w:val="003A0FC0"/>
    <w:rsid w:val="003A18AC"/>
    <w:rsid w:val="003A196D"/>
    <w:rsid w:val="003A1E53"/>
    <w:rsid w:val="003A1FFF"/>
    <w:rsid w:val="003A212F"/>
    <w:rsid w:val="003A21BA"/>
    <w:rsid w:val="003A249A"/>
    <w:rsid w:val="003A2C6E"/>
    <w:rsid w:val="003A2D1C"/>
    <w:rsid w:val="003A3100"/>
    <w:rsid w:val="003A3229"/>
    <w:rsid w:val="003A3234"/>
    <w:rsid w:val="003A3520"/>
    <w:rsid w:val="003A372C"/>
    <w:rsid w:val="003A3894"/>
    <w:rsid w:val="003A3C4A"/>
    <w:rsid w:val="003A3D5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1EE"/>
    <w:rsid w:val="003B72C7"/>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765"/>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C11"/>
    <w:rsid w:val="003C4D37"/>
    <w:rsid w:val="003C537E"/>
    <w:rsid w:val="003C55FA"/>
    <w:rsid w:val="003C575F"/>
    <w:rsid w:val="003C588C"/>
    <w:rsid w:val="003C5982"/>
    <w:rsid w:val="003C5B20"/>
    <w:rsid w:val="003C5B4D"/>
    <w:rsid w:val="003C5ED8"/>
    <w:rsid w:val="003C606E"/>
    <w:rsid w:val="003C6576"/>
    <w:rsid w:val="003C69A7"/>
    <w:rsid w:val="003C6A0E"/>
    <w:rsid w:val="003C6E75"/>
    <w:rsid w:val="003C7194"/>
    <w:rsid w:val="003C7753"/>
    <w:rsid w:val="003C7927"/>
    <w:rsid w:val="003C7964"/>
    <w:rsid w:val="003D06E4"/>
    <w:rsid w:val="003D0B81"/>
    <w:rsid w:val="003D0E8A"/>
    <w:rsid w:val="003D1398"/>
    <w:rsid w:val="003D1600"/>
    <w:rsid w:val="003D1991"/>
    <w:rsid w:val="003D1B40"/>
    <w:rsid w:val="003D1CE3"/>
    <w:rsid w:val="003D1D72"/>
    <w:rsid w:val="003D1DEB"/>
    <w:rsid w:val="003D1EFA"/>
    <w:rsid w:val="003D1F3A"/>
    <w:rsid w:val="003D246C"/>
    <w:rsid w:val="003D27A4"/>
    <w:rsid w:val="003D2A12"/>
    <w:rsid w:val="003D2C1E"/>
    <w:rsid w:val="003D2CC9"/>
    <w:rsid w:val="003D2FB3"/>
    <w:rsid w:val="003D304D"/>
    <w:rsid w:val="003D3513"/>
    <w:rsid w:val="003D37BB"/>
    <w:rsid w:val="003D39BB"/>
    <w:rsid w:val="003D3A19"/>
    <w:rsid w:val="003D3C15"/>
    <w:rsid w:val="003D3F6E"/>
    <w:rsid w:val="003D40F3"/>
    <w:rsid w:val="003D42DD"/>
    <w:rsid w:val="003D4AC7"/>
    <w:rsid w:val="003D4B46"/>
    <w:rsid w:val="003D4BE4"/>
    <w:rsid w:val="003D4F62"/>
    <w:rsid w:val="003D4F85"/>
    <w:rsid w:val="003D54AB"/>
    <w:rsid w:val="003D551D"/>
    <w:rsid w:val="003D58BD"/>
    <w:rsid w:val="003D5EED"/>
    <w:rsid w:val="003D6534"/>
    <w:rsid w:val="003D663A"/>
    <w:rsid w:val="003D6C47"/>
    <w:rsid w:val="003D6C81"/>
    <w:rsid w:val="003D6CF7"/>
    <w:rsid w:val="003D6F0B"/>
    <w:rsid w:val="003D719B"/>
    <w:rsid w:val="003D739C"/>
    <w:rsid w:val="003D7463"/>
    <w:rsid w:val="003D75EC"/>
    <w:rsid w:val="003D7696"/>
    <w:rsid w:val="003D7865"/>
    <w:rsid w:val="003D7986"/>
    <w:rsid w:val="003E0953"/>
    <w:rsid w:val="003E0BFB"/>
    <w:rsid w:val="003E0FC6"/>
    <w:rsid w:val="003E1377"/>
    <w:rsid w:val="003E16D1"/>
    <w:rsid w:val="003E190F"/>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7A2"/>
    <w:rsid w:val="003E7B41"/>
    <w:rsid w:val="003E7CB3"/>
    <w:rsid w:val="003E7D17"/>
    <w:rsid w:val="003E7FE9"/>
    <w:rsid w:val="003F023A"/>
    <w:rsid w:val="003F072F"/>
    <w:rsid w:val="003F0A35"/>
    <w:rsid w:val="003F10ED"/>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2E97"/>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3CA"/>
    <w:rsid w:val="0040343B"/>
    <w:rsid w:val="00403537"/>
    <w:rsid w:val="004039EA"/>
    <w:rsid w:val="00403F04"/>
    <w:rsid w:val="00403F2E"/>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4EF"/>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F8D"/>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4F4"/>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222"/>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51E"/>
    <w:rsid w:val="0042786E"/>
    <w:rsid w:val="00427D25"/>
    <w:rsid w:val="0043004F"/>
    <w:rsid w:val="00430098"/>
    <w:rsid w:val="00430512"/>
    <w:rsid w:val="0043063A"/>
    <w:rsid w:val="00430985"/>
    <w:rsid w:val="00430A07"/>
    <w:rsid w:val="00430C04"/>
    <w:rsid w:val="00430C0B"/>
    <w:rsid w:val="00430CAF"/>
    <w:rsid w:val="00430DE5"/>
    <w:rsid w:val="00430EA6"/>
    <w:rsid w:val="00430EB6"/>
    <w:rsid w:val="00431434"/>
    <w:rsid w:val="00431718"/>
    <w:rsid w:val="004317D6"/>
    <w:rsid w:val="00431D9F"/>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642"/>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EBA"/>
    <w:rsid w:val="00440F34"/>
    <w:rsid w:val="0044107A"/>
    <w:rsid w:val="0044115E"/>
    <w:rsid w:val="0044125C"/>
    <w:rsid w:val="00441636"/>
    <w:rsid w:val="00441731"/>
    <w:rsid w:val="00441AA1"/>
    <w:rsid w:val="00441C17"/>
    <w:rsid w:val="00441F42"/>
    <w:rsid w:val="00441FF0"/>
    <w:rsid w:val="004421D0"/>
    <w:rsid w:val="00442645"/>
    <w:rsid w:val="00442715"/>
    <w:rsid w:val="00442E6A"/>
    <w:rsid w:val="00442EAE"/>
    <w:rsid w:val="0044397D"/>
    <w:rsid w:val="00443A6F"/>
    <w:rsid w:val="00443B1A"/>
    <w:rsid w:val="00443FB8"/>
    <w:rsid w:val="00443FD4"/>
    <w:rsid w:val="00443FDE"/>
    <w:rsid w:val="004445A4"/>
    <w:rsid w:val="0044462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71B"/>
    <w:rsid w:val="00450156"/>
    <w:rsid w:val="00450366"/>
    <w:rsid w:val="0045046B"/>
    <w:rsid w:val="004504B5"/>
    <w:rsid w:val="004504E9"/>
    <w:rsid w:val="00450819"/>
    <w:rsid w:val="00450852"/>
    <w:rsid w:val="00450984"/>
    <w:rsid w:val="00450A3E"/>
    <w:rsid w:val="00450B85"/>
    <w:rsid w:val="00450C30"/>
    <w:rsid w:val="00450D99"/>
    <w:rsid w:val="00450DBF"/>
    <w:rsid w:val="00451162"/>
    <w:rsid w:val="004516C2"/>
    <w:rsid w:val="00451B16"/>
    <w:rsid w:val="00451C0D"/>
    <w:rsid w:val="00451F3F"/>
    <w:rsid w:val="0045201D"/>
    <w:rsid w:val="00452094"/>
    <w:rsid w:val="0045285D"/>
    <w:rsid w:val="00453AF2"/>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382"/>
    <w:rsid w:val="004567EE"/>
    <w:rsid w:val="00456AB6"/>
    <w:rsid w:val="00456ADA"/>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06"/>
    <w:rsid w:val="00466387"/>
    <w:rsid w:val="00466A61"/>
    <w:rsid w:val="00466B43"/>
    <w:rsid w:val="00466DA4"/>
    <w:rsid w:val="00466DDF"/>
    <w:rsid w:val="00466E1F"/>
    <w:rsid w:val="0046706F"/>
    <w:rsid w:val="004672D9"/>
    <w:rsid w:val="004673C9"/>
    <w:rsid w:val="0046744C"/>
    <w:rsid w:val="004675E3"/>
    <w:rsid w:val="00467724"/>
    <w:rsid w:val="00467ABE"/>
    <w:rsid w:val="00467C37"/>
    <w:rsid w:val="00467C6B"/>
    <w:rsid w:val="00467FB5"/>
    <w:rsid w:val="00470342"/>
    <w:rsid w:val="00470940"/>
    <w:rsid w:val="00470D35"/>
    <w:rsid w:val="00470D60"/>
    <w:rsid w:val="00470DB1"/>
    <w:rsid w:val="00470E52"/>
    <w:rsid w:val="00470EFF"/>
    <w:rsid w:val="0047144A"/>
    <w:rsid w:val="004714EB"/>
    <w:rsid w:val="0047170A"/>
    <w:rsid w:val="004717C4"/>
    <w:rsid w:val="00471B2D"/>
    <w:rsid w:val="00471CD2"/>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4EC5"/>
    <w:rsid w:val="00475A02"/>
    <w:rsid w:val="00475B01"/>
    <w:rsid w:val="00475BE6"/>
    <w:rsid w:val="00475DD5"/>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175A"/>
    <w:rsid w:val="00481A79"/>
    <w:rsid w:val="00482025"/>
    <w:rsid w:val="00482125"/>
    <w:rsid w:val="004824A7"/>
    <w:rsid w:val="004824C4"/>
    <w:rsid w:val="0048250C"/>
    <w:rsid w:val="00482593"/>
    <w:rsid w:val="00482654"/>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629"/>
    <w:rsid w:val="004859E4"/>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DAD"/>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4FA1"/>
    <w:rsid w:val="004950D9"/>
    <w:rsid w:val="004950F8"/>
    <w:rsid w:val="004955E5"/>
    <w:rsid w:val="00495637"/>
    <w:rsid w:val="004957D7"/>
    <w:rsid w:val="004958F6"/>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64"/>
    <w:rsid w:val="004A2F84"/>
    <w:rsid w:val="004A30DF"/>
    <w:rsid w:val="004A3151"/>
    <w:rsid w:val="004A3245"/>
    <w:rsid w:val="004A3322"/>
    <w:rsid w:val="004A3B52"/>
    <w:rsid w:val="004A3DFD"/>
    <w:rsid w:val="004A4102"/>
    <w:rsid w:val="004A4382"/>
    <w:rsid w:val="004A453A"/>
    <w:rsid w:val="004A454B"/>
    <w:rsid w:val="004A4AE1"/>
    <w:rsid w:val="004A4D9A"/>
    <w:rsid w:val="004A4E16"/>
    <w:rsid w:val="004A5345"/>
    <w:rsid w:val="004A539B"/>
    <w:rsid w:val="004A543E"/>
    <w:rsid w:val="004A56B1"/>
    <w:rsid w:val="004A5951"/>
    <w:rsid w:val="004A59EF"/>
    <w:rsid w:val="004A666C"/>
    <w:rsid w:val="004A6720"/>
    <w:rsid w:val="004A6900"/>
    <w:rsid w:val="004A74B6"/>
    <w:rsid w:val="004A74DA"/>
    <w:rsid w:val="004A7752"/>
    <w:rsid w:val="004A7B1E"/>
    <w:rsid w:val="004A7C67"/>
    <w:rsid w:val="004B01DE"/>
    <w:rsid w:val="004B0836"/>
    <w:rsid w:val="004B088E"/>
    <w:rsid w:val="004B0A37"/>
    <w:rsid w:val="004B0C21"/>
    <w:rsid w:val="004B0C67"/>
    <w:rsid w:val="004B0DB3"/>
    <w:rsid w:val="004B1829"/>
    <w:rsid w:val="004B1CA9"/>
    <w:rsid w:val="004B1F23"/>
    <w:rsid w:val="004B1F27"/>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63B"/>
    <w:rsid w:val="004B67FF"/>
    <w:rsid w:val="004B6CC8"/>
    <w:rsid w:val="004B7109"/>
    <w:rsid w:val="004B71BD"/>
    <w:rsid w:val="004B71EB"/>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CFB"/>
    <w:rsid w:val="004C7D2E"/>
    <w:rsid w:val="004D00E2"/>
    <w:rsid w:val="004D01F5"/>
    <w:rsid w:val="004D0378"/>
    <w:rsid w:val="004D03B6"/>
    <w:rsid w:val="004D043A"/>
    <w:rsid w:val="004D0741"/>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BCC"/>
    <w:rsid w:val="004D5F99"/>
    <w:rsid w:val="004D6124"/>
    <w:rsid w:val="004D6385"/>
    <w:rsid w:val="004D63AF"/>
    <w:rsid w:val="004D6674"/>
    <w:rsid w:val="004D67CB"/>
    <w:rsid w:val="004D6ADF"/>
    <w:rsid w:val="004D6BC8"/>
    <w:rsid w:val="004D6BE0"/>
    <w:rsid w:val="004D6EB3"/>
    <w:rsid w:val="004D6F0B"/>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186"/>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607"/>
    <w:rsid w:val="004F4823"/>
    <w:rsid w:val="004F4AFB"/>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CC0"/>
    <w:rsid w:val="004F7E2D"/>
    <w:rsid w:val="004F7F73"/>
    <w:rsid w:val="005003DF"/>
    <w:rsid w:val="00500488"/>
    <w:rsid w:val="00500E4A"/>
    <w:rsid w:val="00500EBC"/>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819"/>
    <w:rsid w:val="00507AE7"/>
    <w:rsid w:val="00507B00"/>
    <w:rsid w:val="00507B9C"/>
    <w:rsid w:val="00507C6B"/>
    <w:rsid w:val="00507D21"/>
    <w:rsid w:val="00507DE1"/>
    <w:rsid w:val="005101F8"/>
    <w:rsid w:val="005103C2"/>
    <w:rsid w:val="00510775"/>
    <w:rsid w:val="005107BD"/>
    <w:rsid w:val="00510D6B"/>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344"/>
    <w:rsid w:val="005146DA"/>
    <w:rsid w:val="005151D3"/>
    <w:rsid w:val="00515891"/>
    <w:rsid w:val="00515AB2"/>
    <w:rsid w:val="00515D82"/>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51E"/>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38"/>
    <w:rsid w:val="00527277"/>
    <w:rsid w:val="0052760A"/>
    <w:rsid w:val="0052782A"/>
    <w:rsid w:val="00527A02"/>
    <w:rsid w:val="00527F95"/>
    <w:rsid w:val="00530188"/>
    <w:rsid w:val="005302B6"/>
    <w:rsid w:val="005308FD"/>
    <w:rsid w:val="00530BF6"/>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830"/>
    <w:rsid w:val="00537B08"/>
    <w:rsid w:val="00537D53"/>
    <w:rsid w:val="00537F2E"/>
    <w:rsid w:val="00537FE9"/>
    <w:rsid w:val="0054008E"/>
    <w:rsid w:val="0054012F"/>
    <w:rsid w:val="00540581"/>
    <w:rsid w:val="00540742"/>
    <w:rsid w:val="005408DE"/>
    <w:rsid w:val="00540AD9"/>
    <w:rsid w:val="00540B82"/>
    <w:rsid w:val="00540E18"/>
    <w:rsid w:val="005410FF"/>
    <w:rsid w:val="00541108"/>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0ED"/>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762"/>
    <w:rsid w:val="00550C0E"/>
    <w:rsid w:val="00550CEB"/>
    <w:rsid w:val="0055101E"/>
    <w:rsid w:val="00551747"/>
    <w:rsid w:val="0055176A"/>
    <w:rsid w:val="00551AE1"/>
    <w:rsid w:val="00551CD9"/>
    <w:rsid w:val="00551D93"/>
    <w:rsid w:val="00551ED2"/>
    <w:rsid w:val="00551F17"/>
    <w:rsid w:val="00551F19"/>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680"/>
    <w:rsid w:val="00564818"/>
    <w:rsid w:val="00564839"/>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3DB"/>
    <w:rsid w:val="00573546"/>
    <w:rsid w:val="0057369B"/>
    <w:rsid w:val="0057387C"/>
    <w:rsid w:val="00573C07"/>
    <w:rsid w:val="00573EB1"/>
    <w:rsid w:val="005740E5"/>
    <w:rsid w:val="00574541"/>
    <w:rsid w:val="0057486A"/>
    <w:rsid w:val="00574BEF"/>
    <w:rsid w:val="00574C5C"/>
    <w:rsid w:val="00574DD6"/>
    <w:rsid w:val="00575100"/>
    <w:rsid w:val="005754BC"/>
    <w:rsid w:val="0057584B"/>
    <w:rsid w:val="00575A13"/>
    <w:rsid w:val="00575ED0"/>
    <w:rsid w:val="005761AE"/>
    <w:rsid w:val="005762E7"/>
    <w:rsid w:val="00576A03"/>
    <w:rsid w:val="00576AF0"/>
    <w:rsid w:val="00577CC5"/>
    <w:rsid w:val="00577D79"/>
    <w:rsid w:val="0058025A"/>
    <w:rsid w:val="0058034C"/>
    <w:rsid w:val="005805AA"/>
    <w:rsid w:val="00580A3A"/>
    <w:rsid w:val="00580A65"/>
    <w:rsid w:val="00580B06"/>
    <w:rsid w:val="00580CE5"/>
    <w:rsid w:val="0058123B"/>
    <w:rsid w:val="005815C0"/>
    <w:rsid w:val="00581610"/>
    <w:rsid w:val="00581615"/>
    <w:rsid w:val="005820A9"/>
    <w:rsid w:val="005820FE"/>
    <w:rsid w:val="00582107"/>
    <w:rsid w:val="005822F0"/>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AE5"/>
    <w:rsid w:val="00585B13"/>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B0A"/>
    <w:rsid w:val="00591CEF"/>
    <w:rsid w:val="00591EC0"/>
    <w:rsid w:val="005921A0"/>
    <w:rsid w:val="00592392"/>
    <w:rsid w:val="00592CDC"/>
    <w:rsid w:val="00592E6F"/>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BC3"/>
    <w:rsid w:val="00594D51"/>
    <w:rsid w:val="00594EAC"/>
    <w:rsid w:val="0059510B"/>
    <w:rsid w:val="005951EE"/>
    <w:rsid w:val="00595542"/>
    <w:rsid w:val="00595979"/>
    <w:rsid w:val="00595F68"/>
    <w:rsid w:val="0059610E"/>
    <w:rsid w:val="005961C9"/>
    <w:rsid w:val="0059630F"/>
    <w:rsid w:val="00596370"/>
    <w:rsid w:val="00596390"/>
    <w:rsid w:val="00596430"/>
    <w:rsid w:val="005969B5"/>
    <w:rsid w:val="005970BD"/>
    <w:rsid w:val="0059711A"/>
    <w:rsid w:val="00597269"/>
    <w:rsid w:val="00597509"/>
    <w:rsid w:val="005977D3"/>
    <w:rsid w:val="00597E5D"/>
    <w:rsid w:val="00597EAA"/>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500"/>
    <w:rsid w:val="005A39BD"/>
    <w:rsid w:val="005A3A56"/>
    <w:rsid w:val="005A3C41"/>
    <w:rsid w:val="005A3EA0"/>
    <w:rsid w:val="005A3EDA"/>
    <w:rsid w:val="005A4505"/>
    <w:rsid w:val="005A45FA"/>
    <w:rsid w:val="005A4C22"/>
    <w:rsid w:val="005A4FD3"/>
    <w:rsid w:val="005A5284"/>
    <w:rsid w:val="005A52E0"/>
    <w:rsid w:val="005A53E9"/>
    <w:rsid w:val="005A5467"/>
    <w:rsid w:val="005A554D"/>
    <w:rsid w:val="005A581D"/>
    <w:rsid w:val="005A58BB"/>
    <w:rsid w:val="005A5A4C"/>
    <w:rsid w:val="005A5CD5"/>
    <w:rsid w:val="005A5D95"/>
    <w:rsid w:val="005A6358"/>
    <w:rsid w:val="005A650C"/>
    <w:rsid w:val="005A6C62"/>
    <w:rsid w:val="005A6E60"/>
    <w:rsid w:val="005A70C9"/>
    <w:rsid w:val="005A7173"/>
    <w:rsid w:val="005B03D6"/>
    <w:rsid w:val="005B03E7"/>
    <w:rsid w:val="005B0860"/>
    <w:rsid w:val="005B09EE"/>
    <w:rsid w:val="005B0AF1"/>
    <w:rsid w:val="005B0C40"/>
    <w:rsid w:val="005B0C93"/>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B34"/>
    <w:rsid w:val="005C0F93"/>
    <w:rsid w:val="005C1017"/>
    <w:rsid w:val="005C1018"/>
    <w:rsid w:val="005C1145"/>
    <w:rsid w:val="005C1262"/>
    <w:rsid w:val="005C154E"/>
    <w:rsid w:val="005C1734"/>
    <w:rsid w:val="005C1AC7"/>
    <w:rsid w:val="005C1AD8"/>
    <w:rsid w:val="005C1E31"/>
    <w:rsid w:val="005C212B"/>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9EE"/>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CCF"/>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797"/>
    <w:rsid w:val="005D587C"/>
    <w:rsid w:val="005D5CC4"/>
    <w:rsid w:val="005D5F7D"/>
    <w:rsid w:val="005D6064"/>
    <w:rsid w:val="005D6520"/>
    <w:rsid w:val="005D66F6"/>
    <w:rsid w:val="005D68B6"/>
    <w:rsid w:val="005D6C7D"/>
    <w:rsid w:val="005D6F2D"/>
    <w:rsid w:val="005D7071"/>
    <w:rsid w:val="005D70EA"/>
    <w:rsid w:val="005D789D"/>
    <w:rsid w:val="005D7959"/>
    <w:rsid w:val="005D7C27"/>
    <w:rsid w:val="005D7DAA"/>
    <w:rsid w:val="005E0038"/>
    <w:rsid w:val="005E01E0"/>
    <w:rsid w:val="005E01FD"/>
    <w:rsid w:val="005E05A6"/>
    <w:rsid w:val="005E05BF"/>
    <w:rsid w:val="005E0718"/>
    <w:rsid w:val="005E0B1E"/>
    <w:rsid w:val="005E0C58"/>
    <w:rsid w:val="005E0F82"/>
    <w:rsid w:val="005E118C"/>
    <w:rsid w:val="005E136F"/>
    <w:rsid w:val="005E1387"/>
    <w:rsid w:val="005E16BF"/>
    <w:rsid w:val="005E19B4"/>
    <w:rsid w:val="005E19CD"/>
    <w:rsid w:val="005E1E74"/>
    <w:rsid w:val="005E1E91"/>
    <w:rsid w:val="005E1EE7"/>
    <w:rsid w:val="005E217C"/>
    <w:rsid w:val="005E23F5"/>
    <w:rsid w:val="005E2697"/>
    <w:rsid w:val="005E2EDE"/>
    <w:rsid w:val="005E2FC2"/>
    <w:rsid w:val="005E35B6"/>
    <w:rsid w:val="005E37AF"/>
    <w:rsid w:val="005E3956"/>
    <w:rsid w:val="005E39B4"/>
    <w:rsid w:val="005E3C68"/>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6BA"/>
    <w:rsid w:val="005F3CB3"/>
    <w:rsid w:val="005F400E"/>
    <w:rsid w:val="005F4045"/>
    <w:rsid w:val="005F4549"/>
    <w:rsid w:val="005F4583"/>
    <w:rsid w:val="005F4804"/>
    <w:rsid w:val="005F4937"/>
    <w:rsid w:val="005F49C4"/>
    <w:rsid w:val="005F4AF1"/>
    <w:rsid w:val="005F4D72"/>
    <w:rsid w:val="005F5101"/>
    <w:rsid w:val="005F5ABC"/>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890"/>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1D6"/>
    <w:rsid w:val="00606513"/>
    <w:rsid w:val="00606F78"/>
    <w:rsid w:val="006070AE"/>
    <w:rsid w:val="006073B6"/>
    <w:rsid w:val="00607638"/>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36"/>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761"/>
    <w:rsid w:val="00615908"/>
    <w:rsid w:val="00615FCD"/>
    <w:rsid w:val="006162EC"/>
    <w:rsid w:val="0061685D"/>
    <w:rsid w:val="0061696A"/>
    <w:rsid w:val="00616AD2"/>
    <w:rsid w:val="00616DDB"/>
    <w:rsid w:val="00616EEA"/>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AE9"/>
    <w:rsid w:val="00636EAC"/>
    <w:rsid w:val="00636EF4"/>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74B"/>
    <w:rsid w:val="0064296E"/>
    <w:rsid w:val="00643283"/>
    <w:rsid w:val="006432C1"/>
    <w:rsid w:val="006433C7"/>
    <w:rsid w:val="006436DF"/>
    <w:rsid w:val="00643717"/>
    <w:rsid w:val="0064388E"/>
    <w:rsid w:val="00643AE2"/>
    <w:rsid w:val="00643CD3"/>
    <w:rsid w:val="00643E5D"/>
    <w:rsid w:val="00643ECF"/>
    <w:rsid w:val="00643FD3"/>
    <w:rsid w:val="0064412A"/>
    <w:rsid w:val="006443EF"/>
    <w:rsid w:val="00644C82"/>
    <w:rsid w:val="006453A0"/>
    <w:rsid w:val="006453D5"/>
    <w:rsid w:val="00645820"/>
    <w:rsid w:val="00645E08"/>
    <w:rsid w:val="006460BD"/>
    <w:rsid w:val="006463D9"/>
    <w:rsid w:val="00646419"/>
    <w:rsid w:val="00646597"/>
    <w:rsid w:val="00646A17"/>
    <w:rsid w:val="00646CC7"/>
    <w:rsid w:val="006473D1"/>
    <w:rsid w:val="00647441"/>
    <w:rsid w:val="00647928"/>
    <w:rsid w:val="00647ED0"/>
    <w:rsid w:val="00650105"/>
    <w:rsid w:val="00650A54"/>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51F3"/>
    <w:rsid w:val="0065545C"/>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90B"/>
    <w:rsid w:val="00661C77"/>
    <w:rsid w:val="006628A8"/>
    <w:rsid w:val="00662900"/>
    <w:rsid w:val="00662A7C"/>
    <w:rsid w:val="00663237"/>
    <w:rsid w:val="006632F0"/>
    <w:rsid w:val="00663485"/>
    <w:rsid w:val="00663597"/>
    <w:rsid w:val="00663606"/>
    <w:rsid w:val="0066363C"/>
    <w:rsid w:val="00663D65"/>
    <w:rsid w:val="00663DAF"/>
    <w:rsid w:val="00663E5B"/>
    <w:rsid w:val="00663E64"/>
    <w:rsid w:val="006644C2"/>
    <w:rsid w:val="006647C3"/>
    <w:rsid w:val="00664DBB"/>
    <w:rsid w:val="0066565F"/>
    <w:rsid w:val="00665702"/>
    <w:rsid w:val="006658DA"/>
    <w:rsid w:val="00665911"/>
    <w:rsid w:val="006659B6"/>
    <w:rsid w:val="00665CB1"/>
    <w:rsid w:val="00665D5D"/>
    <w:rsid w:val="006660B3"/>
    <w:rsid w:val="00666CA2"/>
    <w:rsid w:val="00666D03"/>
    <w:rsid w:val="00666E0F"/>
    <w:rsid w:val="00666F77"/>
    <w:rsid w:val="006670FD"/>
    <w:rsid w:val="006674BB"/>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A85"/>
    <w:rsid w:val="00672B74"/>
    <w:rsid w:val="00672BAB"/>
    <w:rsid w:val="00672E64"/>
    <w:rsid w:val="00672F0E"/>
    <w:rsid w:val="00673193"/>
    <w:rsid w:val="006731A0"/>
    <w:rsid w:val="00673288"/>
    <w:rsid w:val="0067338A"/>
    <w:rsid w:val="00673582"/>
    <w:rsid w:val="006735A0"/>
    <w:rsid w:val="006737A5"/>
    <w:rsid w:val="00673FF1"/>
    <w:rsid w:val="006744D9"/>
    <w:rsid w:val="00674DBA"/>
    <w:rsid w:val="00675020"/>
    <w:rsid w:val="00675043"/>
    <w:rsid w:val="00675407"/>
    <w:rsid w:val="006758D1"/>
    <w:rsid w:val="006758FD"/>
    <w:rsid w:val="00675A06"/>
    <w:rsid w:val="00675B32"/>
    <w:rsid w:val="00675B9B"/>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B10"/>
    <w:rsid w:val="00682C79"/>
    <w:rsid w:val="00682D18"/>
    <w:rsid w:val="00682E09"/>
    <w:rsid w:val="00682E97"/>
    <w:rsid w:val="00683306"/>
    <w:rsid w:val="0068330C"/>
    <w:rsid w:val="00683713"/>
    <w:rsid w:val="00683F7E"/>
    <w:rsid w:val="006841A1"/>
    <w:rsid w:val="006843AF"/>
    <w:rsid w:val="00684506"/>
    <w:rsid w:val="00684731"/>
    <w:rsid w:val="00684860"/>
    <w:rsid w:val="00684AF6"/>
    <w:rsid w:val="00684CED"/>
    <w:rsid w:val="00684EC2"/>
    <w:rsid w:val="00685270"/>
    <w:rsid w:val="006853CF"/>
    <w:rsid w:val="00685537"/>
    <w:rsid w:val="0068576D"/>
    <w:rsid w:val="00685802"/>
    <w:rsid w:val="00686273"/>
    <w:rsid w:val="00686460"/>
    <w:rsid w:val="006866C0"/>
    <w:rsid w:val="006866EF"/>
    <w:rsid w:val="00686E9E"/>
    <w:rsid w:val="00686F29"/>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3165"/>
    <w:rsid w:val="00693469"/>
    <w:rsid w:val="006937D5"/>
    <w:rsid w:val="00693DE0"/>
    <w:rsid w:val="00693E97"/>
    <w:rsid w:val="00694061"/>
    <w:rsid w:val="00694293"/>
    <w:rsid w:val="006944A8"/>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1A5"/>
    <w:rsid w:val="00697212"/>
    <w:rsid w:val="00697217"/>
    <w:rsid w:val="006972CA"/>
    <w:rsid w:val="006974B3"/>
    <w:rsid w:val="0069751D"/>
    <w:rsid w:val="00697786"/>
    <w:rsid w:val="00697953"/>
    <w:rsid w:val="00697A58"/>
    <w:rsid w:val="00697D74"/>
    <w:rsid w:val="006A018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467"/>
    <w:rsid w:val="006A549A"/>
    <w:rsid w:val="006A5796"/>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F77"/>
    <w:rsid w:val="006B2335"/>
    <w:rsid w:val="006B2617"/>
    <w:rsid w:val="006B29C7"/>
    <w:rsid w:val="006B2AD2"/>
    <w:rsid w:val="006B2F0D"/>
    <w:rsid w:val="006B32B3"/>
    <w:rsid w:val="006B341E"/>
    <w:rsid w:val="006B3658"/>
    <w:rsid w:val="006B3A7B"/>
    <w:rsid w:val="006B3E16"/>
    <w:rsid w:val="006B411C"/>
    <w:rsid w:val="006B4331"/>
    <w:rsid w:val="006B470D"/>
    <w:rsid w:val="006B49F6"/>
    <w:rsid w:val="006B525B"/>
    <w:rsid w:val="006B5443"/>
    <w:rsid w:val="006B54B5"/>
    <w:rsid w:val="006B568C"/>
    <w:rsid w:val="006B5806"/>
    <w:rsid w:val="006B58FD"/>
    <w:rsid w:val="006B594F"/>
    <w:rsid w:val="006B59E2"/>
    <w:rsid w:val="006B5A74"/>
    <w:rsid w:val="006B5DD2"/>
    <w:rsid w:val="006B5E4A"/>
    <w:rsid w:val="006B609D"/>
    <w:rsid w:val="006B6699"/>
    <w:rsid w:val="006B6B42"/>
    <w:rsid w:val="006B6DAA"/>
    <w:rsid w:val="006B700B"/>
    <w:rsid w:val="006B700E"/>
    <w:rsid w:val="006B7132"/>
    <w:rsid w:val="006B7163"/>
    <w:rsid w:val="006B77EA"/>
    <w:rsid w:val="006B77EF"/>
    <w:rsid w:val="006B79C5"/>
    <w:rsid w:val="006B7A8A"/>
    <w:rsid w:val="006B7D70"/>
    <w:rsid w:val="006C00BC"/>
    <w:rsid w:val="006C00C4"/>
    <w:rsid w:val="006C01F8"/>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AB8"/>
    <w:rsid w:val="006C6E72"/>
    <w:rsid w:val="006C6E93"/>
    <w:rsid w:val="006C7168"/>
    <w:rsid w:val="006C73A0"/>
    <w:rsid w:val="006C74DC"/>
    <w:rsid w:val="006C757A"/>
    <w:rsid w:val="006C7711"/>
    <w:rsid w:val="006C783D"/>
    <w:rsid w:val="006C7B56"/>
    <w:rsid w:val="006C7C5A"/>
    <w:rsid w:val="006D038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B6D"/>
    <w:rsid w:val="006D4E84"/>
    <w:rsid w:val="006D5362"/>
    <w:rsid w:val="006D573B"/>
    <w:rsid w:val="006D5F3A"/>
    <w:rsid w:val="006D684C"/>
    <w:rsid w:val="006D695A"/>
    <w:rsid w:val="006D701D"/>
    <w:rsid w:val="006D7134"/>
    <w:rsid w:val="006D7270"/>
    <w:rsid w:val="006D7740"/>
    <w:rsid w:val="006D7862"/>
    <w:rsid w:val="006D7D98"/>
    <w:rsid w:val="006D7EAD"/>
    <w:rsid w:val="006E0038"/>
    <w:rsid w:val="006E006D"/>
    <w:rsid w:val="006E007F"/>
    <w:rsid w:val="006E0370"/>
    <w:rsid w:val="006E04FE"/>
    <w:rsid w:val="006E0E9E"/>
    <w:rsid w:val="006E110F"/>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3B96"/>
    <w:rsid w:val="006E4356"/>
    <w:rsid w:val="006E46D0"/>
    <w:rsid w:val="006E4840"/>
    <w:rsid w:val="006E4AA7"/>
    <w:rsid w:val="006E5067"/>
    <w:rsid w:val="006E55BF"/>
    <w:rsid w:val="006E594D"/>
    <w:rsid w:val="006E5F36"/>
    <w:rsid w:val="006E6085"/>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BA7"/>
    <w:rsid w:val="006F3DD0"/>
    <w:rsid w:val="006F3F09"/>
    <w:rsid w:val="006F400A"/>
    <w:rsid w:val="006F43B5"/>
    <w:rsid w:val="006F4641"/>
    <w:rsid w:val="006F48F7"/>
    <w:rsid w:val="006F490C"/>
    <w:rsid w:val="006F4AA6"/>
    <w:rsid w:val="006F4D95"/>
    <w:rsid w:val="006F4DBA"/>
    <w:rsid w:val="006F4DBC"/>
    <w:rsid w:val="006F4F21"/>
    <w:rsid w:val="006F50AD"/>
    <w:rsid w:val="006F52D8"/>
    <w:rsid w:val="006F5373"/>
    <w:rsid w:val="006F55ED"/>
    <w:rsid w:val="006F5BF2"/>
    <w:rsid w:val="006F5E48"/>
    <w:rsid w:val="006F5ED3"/>
    <w:rsid w:val="006F5FC5"/>
    <w:rsid w:val="006F641F"/>
    <w:rsid w:val="006F653F"/>
    <w:rsid w:val="006F6741"/>
    <w:rsid w:val="006F6862"/>
    <w:rsid w:val="006F6B0A"/>
    <w:rsid w:val="006F6B45"/>
    <w:rsid w:val="006F6BD6"/>
    <w:rsid w:val="006F6CF3"/>
    <w:rsid w:val="006F6E6E"/>
    <w:rsid w:val="006F700D"/>
    <w:rsid w:val="006F70CD"/>
    <w:rsid w:val="006F71E9"/>
    <w:rsid w:val="006F7259"/>
    <w:rsid w:val="006F7350"/>
    <w:rsid w:val="006F75FE"/>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A8E"/>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BE5"/>
    <w:rsid w:val="00706CEE"/>
    <w:rsid w:val="007070F0"/>
    <w:rsid w:val="007072C2"/>
    <w:rsid w:val="0070733C"/>
    <w:rsid w:val="0070764E"/>
    <w:rsid w:val="007079C2"/>
    <w:rsid w:val="00707A97"/>
    <w:rsid w:val="00707CFB"/>
    <w:rsid w:val="00707FA4"/>
    <w:rsid w:val="0071022E"/>
    <w:rsid w:val="0071030B"/>
    <w:rsid w:val="007105C0"/>
    <w:rsid w:val="0071078D"/>
    <w:rsid w:val="007108D8"/>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A44"/>
    <w:rsid w:val="00714BAE"/>
    <w:rsid w:val="0071544E"/>
    <w:rsid w:val="00715912"/>
    <w:rsid w:val="00715F4E"/>
    <w:rsid w:val="00716001"/>
    <w:rsid w:val="0071628D"/>
    <w:rsid w:val="007164BE"/>
    <w:rsid w:val="00716E18"/>
    <w:rsid w:val="007170E5"/>
    <w:rsid w:val="007171D5"/>
    <w:rsid w:val="00717450"/>
    <w:rsid w:val="0071781F"/>
    <w:rsid w:val="00717B79"/>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8D6"/>
    <w:rsid w:val="00722B07"/>
    <w:rsid w:val="00722DAA"/>
    <w:rsid w:val="00722DE1"/>
    <w:rsid w:val="00722E18"/>
    <w:rsid w:val="00722F8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45A"/>
    <w:rsid w:val="0072553A"/>
    <w:rsid w:val="0072556D"/>
    <w:rsid w:val="007255B7"/>
    <w:rsid w:val="007258D2"/>
    <w:rsid w:val="00725944"/>
    <w:rsid w:val="00725C03"/>
    <w:rsid w:val="0072664F"/>
    <w:rsid w:val="00726709"/>
    <w:rsid w:val="00726ACD"/>
    <w:rsid w:val="00726DE5"/>
    <w:rsid w:val="00726F99"/>
    <w:rsid w:val="00727039"/>
    <w:rsid w:val="00727071"/>
    <w:rsid w:val="00727242"/>
    <w:rsid w:val="007273FB"/>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CAA"/>
    <w:rsid w:val="00736D14"/>
    <w:rsid w:val="00736D20"/>
    <w:rsid w:val="00736FDB"/>
    <w:rsid w:val="00737040"/>
    <w:rsid w:val="00737096"/>
    <w:rsid w:val="00737CB4"/>
    <w:rsid w:val="00737D37"/>
    <w:rsid w:val="00737ED7"/>
    <w:rsid w:val="00737ED8"/>
    <w:rsid w:val="0074007F"/>
    <w:rsid w:val="007403B1"/>
    <w:rsid w:val="00740579"/>
    <w:rsid w:val="0074084E"/>
    <w:rsid w:val="00740A44"/>
    <w:rsid w:val="00740D24"/>
    <w:rsid w:val="007411C3"/>
    <w:rsid w:val="0074158B"/>
    <w:rsid w:val="00741651"/>
    <w:rsid w:val="00741D76"/>
    <w:rsid w:val="00741EA7"/>
    <w:rsid w:val="00741ED7"/>
    <w:rsid w:val="00742472"/>
    <w:rsid w:val="0074249E"/>
    <w:rsid w:val="00742697"/>
    <w:rsid w:val="0074272E"/>
    <w:rsid w:val="00742990"/>
    <w:rsid w:val="007429CC"/>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59C"/>
    <w:rsid w:val="0074695C"/>
    <w:rsid w:val="0074697D"/>
    <w:rsid w:val="0074699C"/>
    <w:rsid w:val="00746C8D"/>
    <w:rsid w:val="00746F72"/>
    <w:rsid w:val="00747B09"/>
    <w:rsid w:val="00747B95"/>
    <w:rsid w:val="00747FBF"/>
    <w:rsid w:val="00750093"/>
    <w:rsid w:val="00750207"/>
    <w:rsid w:val="00750736"/>
    <w:rsid w:val="00750AB1"/>
    <w:rsid w:val="00750C3A"/>
    <w:rsid w:val="00751067"/>
    <w:rsid w:val="007517E8"/>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557"/>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825"/>
    <w:rsid w:val="00767832"/>
    <w:rsid w:val="007679FB"/>
    <w:rsid w:val="00767A39"/>
    <w:rsid w:val="00767C79"/>
    <w:rsid w:val="00767ECB"/>
    <w:rsid w:val="007700B8"/>
    <w:rsid w:val="00770A22"/>
    <w:rsid w:val="00770C50"/>
    <w:rsid w:val="00770C66"/>
    <w:rsid w:val="007715B5"/>
    <w:rsid w:val="00771681"/>
    <w:rsid w:val="007718A3"/>
    <w:rsid w:val="0077208B"/>
    <w:rsid w:val="00772177"/>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11"/>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1F4"/>
    <w:rsid w:val="0077753C"/>
    <w:rsid w:val="00777E61"/>
    <w:rsid w:val="00777FAC"/>
    <w:rsid w:val="00780EF3"/>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C3"/>
    <w:rsid w:val="007846F4"/>
    <w:rsid w:val="00784797"/>
    <w:rsid w:val="007848DF"/>
    <w:rsid w:val="00784A77"/>
    <w:rsid w:val="00784CB7"/>
    <w:rsid w:val="0078579A"/>
    <w:rsid w:val="00785874"/>
    <w:rsid w:val="007858F6"/>
    <w:rsid w:val="0078597D"/>
    <w:rsid w:val="00785C85"/>
    <w:rsid w:val="0078604D"/>
    <w:rsid w:val="00786089"/>
    <w:rsid w:val="007860F3"/>
    <w:rsid w:val="0078616A"/>
    <w:rsid w:val="007861A4"/>
    <w:rsid w:val="007862D8"/>
    <w:rsid w:val="00786912"/>
    <w:rsid w:val="007869CE"/>
    <w:rsid w:val="00786D0D"/>
    <w:rsid w:val="007870F8"/>
    <w:rsid w:val="007871DC"/>
    <w:rsid w:val="007872D2"/>
    <w:rsid w:val="00787628"/>
    <w:rsid w:val="00787768"/>
    <w:rsid w:val="00787A09"/>
    <w:rsid w:val="00790042"/>
    <w:rsid w:val="007902FF"/>
    <w:rsid w:val="00790623"/>
    <w:rsid w:val="00790663"/>
    <w:rsid w:val="0079066A"/>
    <w:rsid w:val="00790B6A"/>
    <w:rsid w:val="00790C77"/>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D61"/>
    <w:rsid w:val="007951C7"/>
    <w:rsid w:val="007952C5"/>
    <w:rsid w:val="007954D6"/>
    <w:rsid w:val="007955A3"/>
    <w:rsid w:val="00795628"/>
    <w:rsid w:val="00795697"/>
    <w:rsid w:val="00795A56"/>
    <w:rsid w:val="00795C6E"/>
    <w:rsid w:val="0079601A"/>
    <w:rsid w:val="00796210"/>
    <w:rsid w:val="0079628B"/>
    <w:rsid w:val="00796354"/>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78D"/>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216"/>
    <w:rsid w:val="007A7236"/>
    <w:rsid w:val="007A72FB"/>
    <w:rsid w:val="007A7627"/>
    <w:rsid w:val="007A79AD"/>
    <w:rsid w:val="007A7A9D"/>
    <w:rsid w:val="007A7AC8"/>
    <w:rsid w:val="007A7B1F"/>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8C7"/>
    <w:rsid w:val="007B79CB"/>
    <w:rsid w:val="007B7E23"/>
    <w:rsid w:val="007B7F42"/>
    <w:rsid w:val="007C0088"/>
    <w:rsid w:val="007C015E"/>
    <w:rsid w:val="007C031F"/>
    <w:rsid w:val="007C051D"/>
    <w:rsid w:val="007C1008"/>
    <w:rsid w:val="007C1173"/>
    <w:rsid w:val="007C118E"/>
    <w:rsid w:val="007C12C6"/>
    <w:rsid w:val="007C15F6"/>
    <w:rsid w:val="007C160D"/>
    <w:rsid w:val="007C1752"/>
    <w:rsid w:val="007C1803"/>
    <w:rsid w:val="007C18C2"/>
    <w:rsid w:val="007C1BBB"/>
    <w:rsid w:val="007C1C78"/>
    <w:rsid w:val="007C1CA8"/>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47C"/>
    <w:rsid w:val="007C6688"/>
    <w:rsid w:val="007C66B8"/>
    <w:rsid w:val="007C72A8"/>
    <w:rsid w:val="007C7C26"/>
    <w:rsid w:val="007D00D3"/>
    <w:rsid w:val="007D0353"/>
    <w:rsid w:val="007D0481"/>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4F6"/>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D7BE7"/>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422"/>
    <w:rsid w:val="007E2927"/>
    <w:rsid w:val="007E2AA5"/>
    <w:rsid w:val="007E2B47"/>
    <w:rsid w:val="007E2B71"/>
    <w:rsid w:val="007E2C95"/>
    <w:rsid w:val="007E2DE2"/>
    <w:rsid w:val="007E2E43"/>
    <w:rsid w:val="007E2F5A"/>
    <w:rsid w:val="007E2F66"/>
    <w:rsid w:val="007E3283"/>
    <w:rsid w:val="007E32D9"/>
    <w:rsid w:val="007E36E5"/>
    <w:rsid w:val="007E386F"/>
    <w:rsid w:val="007E396B"/>
    <w:rsid w:val="007E3BF7"/>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197"/>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4B33"/>
    <w:rsid w:val="007F5144"/>
    <w:rsid w:val="007F51CC"/>
    <w:rsid w:val="007F51CE"/>
    <w:rsid w:val="007F537A"/>
    <w:rsid w:val="007F5481"/>
    <w:rsid w:val="007F549A"/>
    <w:rsid w:val="007F57A4"/>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36A"/>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011"/>
    <w:rsid w:val="00816176"/>
    <w:rsid w:val="008167D2"/>
    <w:rsid w:val="008169E8"/>
    <w:rsid w:val="00816A67"/>
    <w:rsid w:val="00816B95"/>
    <w:rsid w:val="00817528"/>
    <w:rsid w:val="00817A62"/>
    <w:rsid w:val="00817B14"/>
    <w:rsid w:val="008201C2"/>
    <w:rsid w:val="008203F3"/>
    <w:rsid w:val="0082042C"/>
    <w:rsid w:val="00820456"/>
    <w:rsid w:val="0082057A"/>
    <w:rsid w:val="00820630"/>
    <w:rsid w:val="00820676"/>
    <w:rsid w:val="0082093F"/>
    <w:rsid w:val="0082099D"/>
    <w:rsid w:val="008209B8"/>
    <w:rsid w:val="008209C4"/>
    <w:rsid w:val="00821205"/>
    <w:rsid w:val="00821255"/>
    <w:rsid w:val="00821285"/>
    <w:rsid w:val="00821311"/>
    <w:rsid w:val="0082163B"/>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ABA"/>
    <w:rsid w:val="00825AC6"/>
    <w:rsid w:val="008264F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37F"/>
    <w:rsid w:val="00837482"/>
    <w:rsid w:val="00837574"/>
    <w:rsid w:val="00837AA5"/>
    <w:rsid w:val="00837B31"/>
    <w:rsid w:val="0084009E"/>
    <w:rsid w:val="00840360"/>
    <w:rsid w:val="0084048C"/>
    <w:rsid w:val="00840773"/>
    <w:rsid w:val="0084078A"/>
    <w:rsid w:val="00840C0C"/>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73"/>
    <w:rsid w:val="0085022B"/>
    <w:rsid w:val="0085052F"/>
    <w:rsid w:val="008505D7"/>
    <w:rsid w:val="00850660"/>
    <w:rsid w:val="0085067A"/>
    <w:rsid w:val="00850797"/>
    <w:rsid w:val="00850855"/>
    <w:rsid w:val="00850C44"/>
    <w:rsid w:val="00850CC2"/>
    <w:rsid w:val="008511A1"/>
    <w:rsid w:val="0085161D"/>
    <w:rsid w:val="00851719"/>
    <w:rsid w:val="008518FF"/>
    <w:rsid w:val="00851D2D"/>
    <w:rsid w:val="008529BD"/>
    <w:rsid w:val="00852D76"/>
    <w:rsid w:val="00852D90"/>
    <w:rsid w:val="008530AD"/>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8BF"/>
    <w:rsid w:val="00856FF7"/>
    <w:rsid w:val="0085703F"/>
    <w:rsid w:val="008571DC"/>
    <w:rsid w:val="0085775F"/>
    <w:rsid w:val="008578CF"/>
    <w:rsid w:val="00857AA3"/>
    <w:rsid w:val="00857AEA"/>
    <w:rsid w:val="00857C6F"/>
    <w:rsid w:val="00857CA0"/>
    <w:rsid w:val="00857F2A"/>
    <w:rsid w:val="008602BA"/>
    <w:rsid w:val="008603D9"/>
    <w:rsid w:val="00860553"/>
    <w:rsid w:val="00860556"/>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5C2"/>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C0"/>
    <w:rsid w:val="00877118"/>
    <w:rsid w:val="008772BE"/>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DA"/>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A54"/>
    <w:rsid w:val="00887156"/>
    <w:rsid w:val="0088723B"/>
    <w:rsid w:val="00887497"/>
    <w:rsid w:val="008874D7"/>
    <w:rsid w:val="00887634"/>
    <w:rsid w:val="008878A6"/>
    <w:rsid w:val="00887A62"/>
    <w:rsid w:val="00887C75"/>
    <w:rsid w:val="00887F0D"/>
    <w:rsid w:val="008900B6"/>
    <w:rsid w:val="0089016B"/>
    <w:rsid w:val="008901FD"/>
    <w:rsid w:val="00890687"/>
    <w:rsid w:val="00890712"/>
    <w:rsid w:val="0089092D"/>
    <w:rsid w:val="008909D1"/>
    <w:rsid w:val="00890A97"/>
    <w:rsid w:val="00890E53"/>
    <w:rsid w:val="00891181"/>
    <w:rsid w:val="00891718"/>
    <w:rsid w:val="00891857"/>
    <w:rsid w:val="00891A0B"/>
    <w:rsid w:val="00891E17"/>
    <w:rsid w:val="008921BE"/>
    <w:rsid w:val="0089226C"/>
    <w:rsid w:val="0089244E"/>
    <w:rsid w:val="00892468"/>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97784"/>
    <w:rsid w:val="008A0153"/>
    <w:rsid w:val="008A0437"/>
    <w:rsid w:val="008A0B77"/>
    <w:rsid w:val="008A0E21"/>
    <w:rsid w:val="008A11CC"/>
    <w:rsid w:val="008A1394"/>
    <w:rsid w:val="008A13DA"/>
    <w:rsid w:val="008A15E0"/>
    <w:rsid w:val="008A1714"/>
    <w:rsid w:val="008A1930"/>
    <w:rsid w:val="008A1944"/>
    <w:rsid w:val="008A19F5"/>
    <w:rsid w:val="008A1EB8"/>
    <w:rsid w:val="008A1EED"/>
    <w:rsid w:val="008A2168"/>
    <w:rsid w:val="008A224A"/>
    <w:rsid w:val="008A2701"/>
    <w:rsid w:val="008A27B2"/>
    <w:rsid w:val="008A28AF"/>
    <w:rsid w:val="008A2A7F"/>
    <w:rsid w:val="008A2CB4"/>
    <w:rsid w:val="008A2CD5"/>
    <w:rsid w:val="008A30E0"/>
    <w:rsid w:val="008A33B6"/>
    <w:rsid w:val="008A3ADF"/>
    <w:rsid w:val="008A4577"/>
    <w:rsid w:val="008A46F2"/>
    <w:rsid w:val="008A472F"/>
    <w:rsid w:val="008A4C71"/>
    <w:rsid w:val="008A5331"/>
    <w:rsid w:val="008A5568"/>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89E"/>
    <w:rsid w:val="008B396B"/>
    <w:rsid w:val="008B3A5F"/>
    <w:rsid w:val="008B3CB3"/>
    <w:rsid w:val="008B3D0A"/>
    <w:rsid w:val="008B3EA8"/>
    <w:rsid w:val="008B401F"/>
    <w:rsid w:val="008B403B"/>
    <w:rsid w:val="008B42B2"/>
    <w:rsid w:val="008B45F7"/>
    <w:rsid w:val="008B464A"/>
    <w:rsid w:val="008B49E8"/>
    <w:rsid w:val="008B4BC1"/>
    <w:rsid w:val="008B4CFE"/>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C9"/>
    <w:rsid w:val="008B77F7"/>
    <w:rsid w:val="008B790D"/>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2045"/>
    <w:rsid w:val="008C22B2"/>
    <w:rsid w:val="008C23A2"/>
    <w:rsid w:val="008C2FD0"/>
    <w:rsid w:val="008C3102"/>
    <w:rsid w:val="008C32B1"/>
    <w:rsid w:val="008C3631"/>
    <w:rsid w:val="008C38C0"/>
    <w:rsid w:val="008C3A6C"/>
    <w:rsid w:val="008C3C74"/>
    <w:rsid w:val="008C3C7E"/>
    <w:rsid w:val="008C3E30"/>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29"/>
    <w:rsid w:val="008C6760"/>
    <w:rsid w:val="008C698C"/>
    <w:rsid w:val="008C6ADA"/>
    <w:rsid w:val="008C6BC4"/>
    <w:rsid w:val="008C7629"/>
    <w:rsid w:val="008C7A96"/>
    <w:rsid w:val="008C7B3D"/>
    <w:rsid w:val="008C7B98"/>
    <w:rsid w:val="008D02CD"/>
    <w:rsid w:val="008D05D9"/>
    <w:rsid w:val="008D0890"/>
    <w:rsid w:val="008D0B4D"/>
    <w:rsid w:val="008D11C5"/>
    <w:rsid w:val="008D1AFD"/>
    <w:rsid w:val="008D1DC4"/>
    <w:rsid w:val="008D1FDB"/>
    <w:rsid w:val="008D207A"/>
    <w:rsid w:val="008D2377"/>
    <w:rsid w:val="008D23C6"/>
    <w:rsid w:val="008D26D2"/>
    <w:rsid w:val="008D2762"/>
    <w:rsid w:val="008D2C3F"/>
    <w:rsid w:val="008D2F35"/>
    <w:rsid w:val="008D30BB"/>
    <w:rsid w:val="008D31F1"/>
    <w:rsid w:val="008D323F"/>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2C7"/>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FB1"/>
    <w:rsid w:val="008E1130"/>
    <w:rsid w:val="008E1302"/>
    <w:rsid w:val="008E1379"/>
    <w:rsid w:val="008E1511"/>
    <w:rsid w:val="008E1539"/>
    <w:rsid w:val="008E1A4D"/>
    <w:rsid w:val="008E1C0A"/>
    <w:rsid w:val="008E1EDA"/>
    <w:rsid w:val="008E2080"/>
    <w:rsid w:val="008E2095"/>
    <w:rsid w:val="008E2428"/>
    <w:rsid w:val="008E282B"/>
    <w:rsid w:val="008E2C29"/>
    <w:rsid w:val="008E2CC9"/>
    <w:rsid w:val="008E312C"/>
    <w:rsid w:val="008E3533"/>
    <w:rsid w:val="008E35AB"/>
    <w:rsid w:val="008E381B"/>
    <w:rsid w:val="008E3D59"/>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5AB"/>
    <w:rsid w:val="008F188A"/>
    <w:rsid w:val="008F1923"/>
    <w:rsid w:val="008F1ACD"/>
    <w:rsid w:val="008F23AF"/>
    <w:rsid w:val="008F2442"/>
    <w:rsid w:val="008F2CF2"/>
    <w:rsid w:val="008F2E34"/>
    <w:rsid w:val="008F2E41"/>
    <w:rsid w:val="008F2E51"/>
    <w:rsid w:val="008F2F94"/>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6B2"/>
    <w:rsid w:val="008F7746"/>
    <w:rsid w:val="008F7C46"/>
    <w:rsid w:val="008F7FDC"/>
    <w:rsid w:val="009000D4"/>
    <w:rsid w:val="0090021D"/>
    <w:rsid w:val="0090023D"/>
    <w:rsid w:val="009003C7"/>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0DC6"/>
    <w:rsid w:val="00920EAC"/>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34"/>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E62"/>
    <w:rsid w:val="00925F3D"/>
    <w:rsid w:val="009260F2"/>
    <w:rsid w:val="009265B1"/>
    <w:rsid w:val="00926A1C"/>
    <w:rsid w:val="00926A4F"/>
    <w:rsid w:val="00926C53"/>
    <w:rsid w:val="00926CF6"/>
    <w:rsid w:val="00926D5A"/>
    <w:rsid w:val="00926D6D"/>
    <w:rsid w:val="00926EC6"/>
    <w:rsid w:val="00926FE4"/>
    <w:rsid w:val="00927490"/>
    <w:rsid w:val="009276D0"/>
    <w:rsid w:val="00927886"/>
    <w:rsid w:val="00927BFC"/>
    <w:rsid w:val="00927CED"/>
    <w:rsid w:val="00927D06"/>
    <w:rsid w:val="009301A4"/>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47"/>
    <w:rsid w:val="00936571"/>
    <w:rsid w:val="00936665"/>
    <w:rsid w:val="00936BAC"/>
    <w:rsid w:val="00936CAD"/>
    <w:rsid w:val="00936E29"/>
    <w:rsid w:val="00936FC1"/>
    <w:rsid w:val="009371A0"/>
    <w:rsid w:val="00937437"/>
    <w:rsid w:val="0093763B"/>
    <w:rsid w:val="009379C5"/>
    <w:rsid w:val="00937E3D"/>
    <w:rsid w:val="00937F58"/>
    <w:rsid w:val="00940048"/>
    <w:rsid w:val="00940195"/>
    <w:rsid w:val="009401D3"/>
    <w:rsid w:val="009402F9"/>
    <w:rsid w:val="00940474"/>
    <w:rsid w:val="009404C8"/>
    <w:rsid w:val="00940589"/>
    <w:rsid w:val="009408E7"/>
    <w:rsid w:val="00940FF1"/>
    <w:rsid w:val="009410EA"/>
    <w:rsid w:val="0094137D"/>
    <w:rsid w:val="009416AD"/>
    <w:rsid w:val="009417C0"/>
    <w:rsid w:val="009417D0"/>
    <w:rsid w:val="00941E9A"/>
    <w:rsid w:val="009421AA"/>
    <w:rsid w:val="009426F8"/>
    <w:rsid w:val="009428C1"/>
    <w:rsid w:val="009428CB"/>
    <w:rsid w:val="009428E7"/>
    <w:rsid w:val="00942E2B"/>
    <w:rsid w:val="0094347B"/>
    <w:rsid w:val="0094347F"/>
    <w:rsid w:val="00943C09"/>
    <w:rsid w:val="00944444"/>
    <w:rsid w:val="00944623"/>
    <w:rsid w:val="0094476A"/>
    <w:rsid w:val="00944772"/>
    <w:rsid w:val="00945279"/>
    <w:rsid w:val="00945424"/>
    <w:rsid w:val="00945517"/>
    <w:rsid w:val="0094552F"/>
    <w:rsid w:val="00945D58"/>
    <w:rsid w:val="00945EB9"/>
    <w:rsid w:val="0094641F"/>
    <w:rsid w:val="00946BFC"/>
    <w:rsid w:val="00946C5A"/>
    <w:rsid w:val="00946E47"/>
    <w:rsid w:val="009470D1"/>
    <w:rsid w:val="0094732D"/>
    <w:rsid w:val="00947542"/>
    <w:rsid w:val="00947589"/>
    <w:rsid w:val="0094767C"/>
    <w:rsid w:val="009476C1"/>
    <w:rsid w:val="00947969"/>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73C"/>
    <w:rsid w:val="00953893"/>
    <w:rsid w:val="00953A54"/>
    <w:rsid w:val="0095433E"/>
    <w:rsid w:val="00954446"/>
    <w:rsid w:val="0095447C"/>
    <w:rsid w:val="00954718"/>
    <w:rsid w:val="00954EB2"/>
    <w:rsid w:val="00954F65"/>
    <w:rsid w:val="00954FF5"/>
    <w:rsid w:val="00955051"/>
    <w:rsid w:val="00955635"/>
    <w:rsid w:val="00955659"/>
    <w:rsid w:val="00955690"/>
    <w:rsid w:val="009558D6"/>
    <w:rsid w:val="009558E5"/>
    <w:rsid w:val="00955BA8"/>
    <w:rsid w:val="00955BB0"/>
    <w:rsid w:val="0095641D"/>
    <w:rsid w:val="0095682E"/>
    <w:rsid w:val="00956A50"/>
    <w:rsid w:val="00956A61"/>
    <w:rsid w:val="00956A74"/>
    <w:rsid w:val="00956B18"/>
    <w:rsid w:val="00956B1E"/>
    <w:rsid w:val="00956C21"/>
    <w:rsid w:val="00956ECF"/>
    <w:rsid w:val="00957500"/>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5F8"/>
    <w:rsid w:val="00965601"/>
    <w:rsid w:val="009656C5"/>
    <w:rsid w:val="00965DC9"/>
    <w:rsid w:val="00965EC2"/>
    <w:rsid w:val="009660E8"/>
    <w:rsid w:val="009662DA"/>
    <w:rsid w:val="00966338"/>
    <w:rsid w:val="00966431"/>
    <w:rsid w:val="009670F9"/>
    <w:rsid w:val="0096748A"/>
    <w:rsid w:val="00967746"/>
    <w:rsid w:val="009677F4"/>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C14"/>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D41"/>
    <w:rsid w:val="00981E15"/>
    <w:rsid w:val="00981E6F"/>
    <w:rsid w:val="00981FB8"/>
    <w:rsid w:val="00982055"/>
    <w:rsid w:val="009820A3"/>
    <w:rsid w:val="0098211B"/>
    <w:rsid w:val="00982448"/>
    <w:rsid w:val="009828ED"/>
    <w:rsid w:val="00982A53"/>
    <w:rsid w:val="00982A59"/>
    <w:rsid w:val="00982B6C"/>
    <w:rsid w:val="009831CC"/>
    <w:rsid w:val="009832C4"/>
    <w:rsid w:val="00983378"/>
    <w:rsid w:val="009833C7"/>
    <w:rsid w:val="009835F2"/>
    <w:rsid w:val="00983671"/>
    <w:rsid w:val="00983A44"/>
    <w:rsid w:val="00983CD3"/>
    <w:rsid w:val="00983E13"/>
    <w:rsid w:val="00983E25"/>
    <w:rsid w:val="00983E69"/>
    <w:rsid w:val="00983EAA"/>
    <w:rsid w:val="009840DE"/>
    <w:rsid w:val="00984336"/>
    <w:rsid w:val="0098442B"/>
    <w:rsid w:val="0098461B"/>
    <w:rsid w:val="00984772"/>
    <w:rsid w:val="00984927"/>
    <w:rsid w:val="00984A91"/>
    <w:rsid w:val="00984F62"/>
    <w:rsid w:val="00984FC8"/>
    <w:rsid w:val="009856A0"/>
    <w:rsid w:val="0098574A"/>
    <w:rsid w:val="00985796"/>
    <w:rsid w:val="009857C7"/>
    <w:rsid w:val="00985872"/>
    <w:rsid w:val="009858A3"/>
    <w:rsid w:val="00985CF3"/>
    <w:rsid w:val="00985DC6"/>
    <w:rsid w:val="0098654C"/>
    <w:rsid w:val="00986917"/>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0DE9"/>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77"/>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0EDE"/>
    <w:rsid w:val="009C1668"/>
    <w:rsid w:val="009C1886"/>
    <w:rsid w:val="009C1C2C"/>
    <w:rsid w:val="009C1FE0"/>
    <w:rsid w:val="009C21E8"/>
    <w:rsid w:val="009C24E5"/>
    <w:rsid w:val="009C2720"/>
    <w:rsid w:val="009C2929"/>
    <w:rsid w:val="009C2D78"/>
    <w:rsid w:val="009C31BA"/>
    <w:rsid w:val="009C31C0"/>
    <w:rsid w:val="009C3935"/>
    <w:rsid w:val="009C4176"/>
    <w:rsid w:val="009C48D0"/>
    <w:rsid w:val="009C4C9C"/>
    <w:rsid w:val="009C4CC8"/>
    <w:rsid w:val="009C4CFD"/>
    <w:rsid w:val="009C4D84"/>
    <w:rsid w:val="009C52B7"/>
    <w:rsid w:val="009C5AFA"/>
    <w:rsid w:val="009C5B04"/>
    <w:rsid w:val="009C5BDA"/>
    <w:rsid w:val="009C5C71"/>
    <w:rsid w:val="009C5DCE"/>
    <w:rsid w:val="009C5EB9"/>
    <w:rsid w:val="009C602E"/>
    <w:rsid w:val="009C6322"/>
    <w:rsid w:val="009C64D3"/>
    <w:rsid w:val="009C6595"/>
    <w:rsid w:val="009C67FD"/>
    <w:rsid w:val="009C6915"/>
    <w:rsid w:val="009C6BA1"/>
    <w:rsid w:val="009C713D"/>
    <w:rsid w:val="009C722F"/>
    <w:rsid w:val="009C738F"/>
    <w:rsid w:val="009C75C0"/>
    <w:rsid w:val="009C760D"/>
    <w:rsid w:val="009C769F"/>
    <w:rsid w:val="009C7811"/>
    <w:rsid w:val="009C7D4F"/>
    <w:rsid w:val="009C7D62"/>
    <w:rsid w:val="009C7F21"/>
    <w:rsid w:val="009C7F7C"/>
    <w:rsid w:val="009D09E5"/>
    <w:rsid w:val="009D11EB"/>
    <w:rsid w:val="009D12C6"/>
    <w:rsid w:val="009D15EC"/>
    <w:rsid w:val="009D1AB9"/>
    <w:rsid w:val="009D22A8"/>
    <w:rsid w:val="009D26D8"/>
    <w:rsid w:val="009D27D6"/>
    <w:rsid w:val="009D2D1C"/>
    <w:rsid w:val="009D30E7"/>
    <w:rsid w:val="009D3145"/>
    <w:rsid w:val="009D3231"/>
    <w:rsid w:val="009D33C7"/>
    <w:rsid w:val="009D3489"/>
    <w:rsid w:val="009D35FF"/>
    <w:rsid w:val="009D3E19"/>
    <w:rsid w:val="009D3F14"/>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A9B"/>
    <w:rsid w:val="009D7B16"/>
    <w:rsid w:val="009E0420"/>
    <w:rsid w:val="009E04E2"/>
    <w:rsid w:val="009E0656"/>
    <w:rsid w:val="009E0980"/>
    <w:rsid w:val="009E09BD"/>
    <w:rsid w:val="009E0B89"/>
    <w:rsid w:val="009E0FAF"/>
    <w:rsid w:val="009E14D0"/>
    <w:rsid w:val="009E17F3"/>
    <w:rsid w:val="009E1D1D"/>
    <w:rsid w:val="009E1E8A"/>
    <w:rsid w:val="009E24E5"/>
    <w:rsid w:val="009E25E7"/>
    <w:rsid w:val="009E2679"/>
    <w:rsid w:val="009E274F"/>
    <w:rsid w:val="009E27F4"/>
    <w:rsid w:val="009E2C06"/>
    <w:rsid w:val="009E2CB1"/>
    <w:rsid w:val="009E3797"/>
    <w:rsid w:val="009E388C"/>
    <w:rsid w:val="009E3AAD"/>
    <w:rsid w:val="009E3E2E"/>
    <w:rsid w:val="009E3EB0"/>
    <w:rsid w:val="009E429A"/>
    <w:rsid w:val="009E42CF"/>
    <w:rsid w:val="009E43CE"/>
    <w:rsid w:val="009E455F"/>
    <w:rsid w:val="009E467F"/>
    <w:rsid w:val="009E4809"/>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328"/>
    <w:rsid w:val="009E76BC"/>
    <w:rsid w:val="009E7F1B"/>
    <w:rsid w:val="009F0395"/>
    <w:rsid w:val="009F0416"/>
    <w:rsid w:val="009F04B5"/>
    <w:rsid w:val="009F08C1"/>
    <w:rsid w:val="009F0F59"/>
    <w:rsid w:val="009F1107"/>
    <w:rsid w:val="009F1328"/>
    <w:rsid w:val="009F1385"/>
    <w:rsid w:val="009F1467"/>
    <w:rsid w:val="009F15D5"/>
    <w:rsid w:val="009F1810"/>
    <w:rsid w:val="009F1997"/>
    <w:rsid w:val="009F1E72"/>
    <w:rsid w:val="009F230A"/>
    <w:rsid w:val="009F237A"/>
    <w:rsid w:val="009F244A"/>
    <w:rsid w:val="009F275E"/>
    <w:rsid w:val="009F2CC2"/>
    <w:rsid w:val="009F3311"/>
    <w:rsid w:val="009F35D5"/>
    <w:rsid w:val="009F3702"/>
    <w:rsid w:val="009F3796"/>
    <w:rsid w:val="009F39DC"/>
    <w:rsid w:val="009F3A22"/>
    <w:rsid w:val="009F3D4E"/>
    <w:rsid w:val="009F40FF"/>
    <w:rsid w:val="009F4259"/>
    <w:rsid w:val="009F42DB"/>
    <w:rsid w:val="009F4335"/>
    <w:rsid w:val="009F47D0"/>
    <w:rsid w:val="009F4A2C"/>
    <w:rsid w:val="009F4A33"/>
    <w:rsid w:val="009F55FC"/>
    <w:rsid w:val="009F570C"/>
    <w:rsid w:val="009F5F77"/>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27F"/>
    <w:rsid w:val="00A0491C"/>
    <w:rsid w:val="00A04ED5"/>
    <w:rsid w:val="00A04EEE"/>
    <w:rsid w:val="00A04F5A"/>
    <w:rsid w:val="00A04F78"/>
    <w:rsid w:val="00A05510"/>
    <w:rsid w:val="00A05543"/>
    <w:rsid w:val="00A055BF"/>
    <w:rsid w:val="00A05CA3"/>
    <w:rsid w:val="00A05E47"/>
    <w:rsid w:val="00A060CE"/>
    <w:rsid w:val="00A066C6"/>
    <w:rsid w:val="00A0728D"/>
    <w:rsid w:val="00A0737E"/>
    <w:rsid w:val="00A073AC"/>
    <w:rsid w:val="00A07416"/>
    <w:rsid w:val="00A0758F"/>
    <w:rsid w:val="00A07DFB"/>
    <w:rsid w:val="00A102EE"/>
    <w:rsid w:val="00A10340"/>
    <w:rsid w:val="00A103F1"/>
    <w:rsid w:val="00A10D63"/>
    <w:rsid w:val="00A10F46"/>
    <w:rsid w:val="00A116E1"/>
    <w:rsid w:val="00A117D9"/>
    <w:rsid w:val="00A11ADE"/>
    <w:rsid w:val="00A120F4"/>
    <w:rsid w:val="00A1219C"/>
    <w:rsid w:val="00A126CD"/>
    <w:rsid w:val="00A127F1"/>
    <w:rsid w:val="00A12AA6"/>
    <w:rsid w:val="00A12AE9"/>
    <w:rsid w:val="00A12F05"/>
    <w:rsid w:val="00A1358F"/>
    <w:rsid w:val="00A136F7"/>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BE5"/>
    <w:rsid w:val="00A21EEF"/>
    <w:rsid w:val="00A21F16"/>
    <w:rsid w:val="00A2213F"/>
    <w:rsid w:val="00A222AD"/>
    <w:rsid w:val="00A22333"/>
    <w:rsid w:val="00A2240D"/>
    <w:rsid w:val="00A2271A"/>
    <w:rsid w:val="00A22865"/>
    <w:rsid w:val="00A22B40"/>
    <w:rsid w:val="00A22F3B"/>
    <w:rsid w:val="00A22F45"/>
    <w:rsid w:val="00A22F4F"/>
    <w:rsid w:val="00A235BD"/>
    <w:rsid w:val="00A23799"/>
    <w:rsid w:val="00A237C2"/>
    <w:rsid w:val="00A2389E"/>
    <w:rsid w:val="00A23945"/>
    <w:rsid w:val="00A23C00"/>
    <w:rsid w:val="00A23D27"/>
    <w:rsid w:val="00A23EB5"/>
    <w:rsid w:val="00A243AD"/>
    <w:rsid w:val="00A24673"/>
    <w:rsid w:val="00A248FC"/>
    <w:rsid w:val="00A24EF0"/>
    <w:rsid w:val="00A24EF6"/>
    <w:rsid w:val="00A25584"/>
    <w:rsid w:val="00A25AE9"/>
    <w:rsid w:val="00A26109"/>
    <w:rsid w:val="00A2621E"/>
    <w:rsid w:val="00A2675A"/>
    <w:rsid w:val="00A26BCA"/>
    <w:rsid w:val="00A26E70"/>
    <w:rsid w:val="00A26E81"/>
    <w:rsid w:val="00A27227"/>
    <w:rsid w:val="00A2732D"/>
    <w:rsid w:val="00A276B7"/>
    <w:rsid w:val="00A277BD"/>
    <w:rsid w:val="00A2794D"/>
    <w:rsid w:val="00A27A6E"/>
    <w:rsid w:val="00A27B92"/>
    <w:rsid w:val="00A30045"/>
    <w:rsid w:val="00A302FE"/>
    <w:rsid w:val="00A30370"/>
    <w:rsid w:val="00A3037E"/>
    <w:rsid w:val="00A30A96"/>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0B"/>
    <w:rsid w:val="00A32F61"/>
    <w:rsid w:val="00A330D8"/>
    <w:rsid w:val="00A33226"/>
    <w:rsid w:val="00A333D4"/>
    <w:rsid w:val="00A33619"/>
    <w:rsid w:val="00A338BD"/>
    <w:rsid w:val="00A33A1E"/>
    <w:rsid w:val="00A33A6C"/>
    <w:rsid w:val="00A33B09"/>
    <w:rsid w:val="00A341F8"/>
    <w:rsid w:val="00A34670"/>
    <w:rsid w:val="00A34CA6"/>
    <w:rsid w:val="00A34E68"/>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E38"/>
    <w:rsid w:val="00A40E1A"/>
    <w:rsid w:val="00A40F97"/>
    <w:rsid w:val="00A415D4"/>
    <w:rsid w:val="00A41882"/>
    <w:rsid w:val="00A418DA"/>
    <w:rsid w:val="00A41984"/>
    <w:rsid w:val="00A41E64"/>
    <w:rsid w:val="00A42271"/>
    <w:rsid w:val="00A4284A"/>
    <w:rsid w:val="00A42989"/>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5F74"/>
    <w:rsid w:val="00A46200"/>
    <w:rsid w:val="00A468CD"/>
    <w:rsid w:val="00A46C7D"/>
    <w:rsid w:val="00A46CA0"/>
    <w:rsid w:val="00A4707B"/>
    <w:rsid w:val="00A4718F"/>
    <w:rsid w:val="00A471D7"/>
    <w:rsid w:val="00A4745D"/>
    <w:rsid w:val="00A47635"/>
    <w:rsid w:val="00A478D7"/>
    <w:rsid w:val="00A47D38"/>
    <w:rsid w:val="00A47F0F"/>
    <w:rsid w:val="00A47F10"/>
    <w:rsid w:val="00A50607"/>
    <w:rsid w:val="00A5080A"/>
    <w:rsid w:val="00A50898"/>
    <w:rsid w:val="00A50A2C"/>
    <w:rsid w:val="00A50C54"/>
    <w:rsid w:val="00A50FAE"/>
    <w:rsid w:val="00A5161B"/>
    <w:rsid w:val="00A51963"/>
    <w:rsid w:val="00A51BFF"/>
    <w:rsid w:val="00A51D95"/>
    <w:rsid w:val="00A51F3F"/>
    <w:rsid w:val="00A520E1"/>
    <w:rsid w:val="00A52365"/>
    <w:rsid w:val="00A526FD"/>
    <w:rsid w:val="00A52AB5"/>
    <w:rsid w:val="00A52DCA"/>
    <w:rsid w:val="00A52DD9"/>
    <w:rsid w:val="00A53A02"/>
    <w:rsid w:val="00A53A82"/>
    <w:rsid w:val="00A5416F"/>
    <w:rsid w:val="00A54576"/>
    <w:rsid w:val="00A545ED"/>
    <w:rsid w:val="00A54969"/>
    <w:rsid w:val="00A54B90"/>
    <w:rsid w:val="00A54C66"/>
    <w:rsid w:val="00A54E1A"/>
    <w:rsid w:val="00A5548F"/>
    <w:rsid w:val="00A55648"/>
    <w:rsid w:val="00A55AB3"/>
    <w:rsid w:val="00A55C0E"/>
    <w:rsid w:val="00A55DE7"/>
    <w:rsid w:val="00A5606A"/>
    <w:rsid w:val="00A561EB"/>
    <w:rsid w:val="00A56343"/>
    <w:rsid w:val="00A567AE"/>
    <w:rsid w:val="00A56992"/>
    <w:rsid w:val="00A56DCF"/>
    <w:rsid w:val="00A56F5C"/>
    <w:rsid w:val="00A57136"/>
    <w:rsid w:val="00A57436"/>
    <w:rsid w:val="00A57C83"/>
    <w:rsid w:val="00A57D24"/>
    <w:rsid w:val="00A6041B"/>
    <w:rsid w:val="00A6067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EAA"/>
    <w:rsid w:val="00A640BA"/>
    <w:rsid w:val="00A6468C"/>
    <w:rsid w:val="00A6476F"/>
    <w:rsid w:val="00A64A4E"/>
    <w:rsid w:val="00A64A51"/>
    <w:rsid w:val="00A64BED"/>
    <w:rsid w:val="00A64DF1"/>
    <w:rsid w:val="00A64E28"/>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D24"/>
    <w:rsid w:val="00A70F4A"/>
    <w:rsid w:val="00A71043"/>
    <w:rsid w:val="00A71260"/>
    <w:rsid w:val="00A717C4"/>
    <w:rsid w:val="00A718E5"/>
    <w:rsid w:val="00A71C74"/>
    <w:rsid w:val="00A71E21"/>
    <w:rsid w:val="00A71FD4"/>
    <w:rsid w:val="00A72142"/>
    <w:rsid w:val="00A722EA"/>
    <w:rsid w:val="00A7246C"/>
    <w:rsid w:val="00A728D6"/>
    <w:rsid w:val="00A72AB0"/>
    <w:rsid w:val="00A72C2F"/>
    <w:rsid w:val="00A72C7E"/>
    <w:rsid w:val="00A73499"/>
    <w:rsid w:val="00A734F6"/>
    <w:rsid w:val="00A7368A"/>
    <w:rsid w:val="00A7399B"/>
    <w:rsid w:val="00A73B63"/>
    <w:rsid w:val="00A73C80"/>
    <w:rsid w:val="00A73CC6"/>
    <w:rsid w:val="00A73F8B"/>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5EDB"/>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970"/>
    <w:rsid w:val="00A809AA"/>
    <w:rsid w:val="00A80BD7"/>
    <w:rsid w:val="00A80C44"/>
    <w:rsid w:val="00A80E13"/>
    <w:rsid w:val="00A80F7C"/>
    <w:rsid w:val="00A81538"/>
    <w:rsid w:val="00A81CE5"/>
    <w:rsid w:val="00A81DF3"/>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36"/>
    <w:rsid w:val="00A87552"/>
    <w:rsid w:val="00A87665"/>
    <w:rsid w:val="00A878DB"/>
    <w:rsid w:val="00A87984"/>
    <w:rsid w:val="00A87D58"/>
    <w:rsid w:val="00A87EE2"/>
    <w:rsid w:val="00A903C8"/>
    <w:rsid w:val="00A9055E"/>
    <w:rsid w:val="00A90663"/>
    <w:rsid w:val="00A90A49"/>
    <w:rsid w:val="00A90AA0"/>
    <w:rsid w:val="00A90F19"/>
    <w:rsid w:val="00A9107C"/>
    <w:rsid w:val="00A911A5"/>
    <w:rsid w:val="00A913E0"/>
    <w:rsid w:val="00A91B8F"/>
    <w:rsid w:val="00A9232D"/>
    <w:rsid w:val="00A924F0"/>
    <w:rsid w:val="00A9257C"/>
    <w:rsid w:val="00A927A5"/>
    <w:rsid w:val="00A92995"/>
    <w:rsid w:val="00A92B74"/>
    <w:rsid w:val="00A92C88"/>
    <w:rsid w:val="00A92E1E"/>
    <w:rsid w:val="00A92E5A"/>
    <w:rsid w:val="00A92E89"/>
    <w:rsid w:val="00A9329B"/>
    <w:rsid w:val="00A9329D"/>
    <w:rsid w:val="00A9396B"/>
    <w:rsid w:val="00A93A21"/>
    <w:rsid w:val="00A93AA6"/>
    <w:rsid w:val="00A93BD1"/>
    <w:rsid w:val="00A93EAF"/>
    <w:rsid w:val="00A94050"/>
    <w:rsid w:val="00A94479"/>
    <w:rsid w:val="00A9459B"/>
    <w:rsid w:val="00A94F16"/>
    <w:rsid w:val="00A952EA"/>
    <w:rsid w:val="00A958A5"/>
    <w:rsid w:val="00A95A00"/>
    <w:rsid w:val="00A95A38"/>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39C"/>
    <w:rsid w:val="00AA26F7"/>
    <w:rsid w:val="00AA2A27"/>
    <w:rsid w:val="00AA2AFB"/>
    <w:rsid w:val="00AA2C29"/>
    <w:rsid w:val="00AA33A9"/>
    <w:rsid w:val="00AA43E0"/>
    <w:rsid w:val="00AA45E7"/>
    <w:rsid w:val="00AA4705"/>
    <w:rsid w:val="00AA48F2"/>
    <w:rsid w:val="00AA490F"/>
    <w:rsid w:val="00AA4A33"/>
    <w:rsid w:val="00AA4A67"/>
    <w:rsid w:val="00AA4DC2"/>
    <w:rsid w:val="00AA4E03"/>
    <w:rsid w:val="00AA505D"/>
    <w:rsid w:val="00AA539D"/>
    <w:rsid w:val="00AA5422"/>
    <w:rsid w:val="00AA596C"/>
    <w:rsid w:val="00AA5A47"/>
    <w:rsid w:val="00AA62E7"/>
    <w:rsid w:val="00AA643B"/>
    <w:rsid w:val="00AA6672"/>
    <w:rsid w:val="00AA67FD"/>
    <w:rsid w:val="00AA6C33"/>
    <w:rsid w:val="00AA6D8D"/>
    <w:rsid w:val="00AA72B7"/>
    <w:rsid w:val="00AA7863"/>
    <w:rsid w:val="00AA78D1"/>
    <w:rsid w:val="00AA78D7"/>
    <w:rsid w:val="00AA7A91"/>
    <w:rsid w:val="00AB021E"/>
    <w:rsid w:val="00AB12E1"/>
    <w:rsid w:val="00AB1454"/>
    <w:rsid w:val="00AB159A"/>
    <w:rsid w:val="00AB1697"/>
    <w:rsid w:val="00AB19DD"/>
    <w:rsid w:val="00AB1BF2"/>
    <w:rsid w:val="00AB1E3C"/>
    <w:rsid w:val="00AB21AA"/>
    <w:rsid w:val="00AB226C"/>
    <w:rsid w:val="00AB2A45"/>
    <w:rsid w:val="00AB2DEE"/>
    <w:rsid w:val="00AB2FD8"/>
    <w:rsid w:val="00AB316E"/>
    <w:rsid w:val="00AB35B2"/>
    <w:rsid w:val="00AB35B7"/>
    <w:rsid w:val="00AB3975"/>
    <w:rsid w:val="00AB3EB4"/>
    <w:rsid w:val="00AB4143"/>
    <w:rsid w:val="00AB467C"/>
    <w:rsid w:val="00AB488E"/>
    <w:rsid w:val="00AB4945"/>
    <w:rsid w:val="00AB498F"/>
    <w:rsid w:val="00AB4A58"/>
    <w:rsid w:val="00AB4C26"/>
    <w:rsid w:val="00AB4DCA"/>
    <w:rsid w:val="00AB4E93"/>
    <w:rsid w:val="00AB58B2"/>
    <w:rsid w:val="00AB5B12"/>
    <w:rsid w:val="00AB5C12"/>
    <w:rsid w:val="00AB617A"/>
    <w:rsid w:val="00AB6282"/>
    <w:rsid w:val="00AB6943"/>
    <w:rsid w:val="00AB728D"/>
    <w:rsid w:val="00AB75FD"/>
    <w:rsid w:val="00AB7717"/>
    <w:rsid w:val="00AB77EF"/>
    <w:rsid w:val="00AB791B"/>
    <w:rsid w:val="00AB7980"/>
    <w:rsid w:val="00AB79E2"/>
    <w:rsid w:val="00AB79EC"/>
    <w:rsid w:val="00AC0045"/>
    <w:rsid w:val="00AC037B"/>
    <w:rsid w:val="00AC06FE"/>
    <w:rsid w:val="00AC0A8C"/>
    <w:rsid w:val="00AC0D40"/>
    <w:rsid w:val="00AC11E5"/>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467"/>
    <w:rsid w:val="00AC459C"/>
    <w:rsid w:val="00AC45F1"/>
    <w:rsid w:val="00AC4820"/>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634"/>
    <w:rsid w:val="00AD0D90"/>
    <w:rsid w:val="00AD142E"/>
    <w:rsid w:val="00AD17A0"/>
    <w:rsid w:val="00AD1EF6"/>
    <w:rsid w:val="00AD22D8"/>
    <w:rsid w:val="00AD2599"/>
    <w:rsid w:val="00AD259C"/>
    <w:rsid w:val="00AD292A"/>
    <w:rsid w:val="00AD2BED"/>
    <w:rsid w:val="00AD2C3C"/>
    <w:rsid w:val="00AD2DF4"/>
    <w:rsid w:val="00AD30A4"/>
    <w:rsid w:val="00AD3125"/>
    <w:rsid w:val="00AD34E9"/>
    <w:rsid w:val="00AD35E6"/>
    <w:rsid w:val="00AD374D"/>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9F8"/>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84"/>
    <w:rsid w:val="00AE5086"/>
    <w:rsid w:val="00AE5B34"/>
    <w:rsid w:val="00AE5B72"/>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BD4"/>
    <w:rsid w:val="00AF1DF8"/>
    <w:rsid w:val="00AF2127"/>
    <w:rsid w:val="00AF2515"/>
    <w:rsid w:val="00AF27C5"/>
    <w:rsid w:val="00AF28BC"/>
    <w:rsid w:val="00AF2A89"/>
    <w:rsid w:val="00AF2AF7"/>
    <w:rsid w:val="00AF300D"/>
    <w:rsid w:val="00AF302E"/>
    <w:rsid w:val="00AF30E7"/>
    <w:rsid w:val="00AF3175"/>
    <w:rsid w:val="00AF3404"/>
    <w:rsid w:val="00AF3560"/>
    <w:rsid w:val="00AF37A8"/>
    <w:rsid w:val="00AF37CB"/>
    <w:rsid w:val="00AF3917"/>
    <w:rsid w:val="00AF3ECA"/>
    <w:rsid w:val="00AF4355"/>
    <w:rsid w:val="00AF46A5"/>
    <w:rsid w:val="00AF48FC"/>
    <w:rsid w:val="00AF4A65"/>
    <w:rsid w:val="00AF4BB1"/>
    <w:rsid w:val="00AF4EB8"/>
    <w:rsid w:val="00AF54F5"/>
    <w:rsid w:val="00AF56DB"/>
    <w:rsid w:val="00AF5A82"/>
    <w:rsid w:val="00AF5DF4"/>
    <w:rsid w:val="00AF5FEB"/>
    <w:rsid w:val="00AF61AB"/>
    <w:rsid w:val="00AF656E"/>
    <w:rsid w:val="00AF66CC"/>
    <w:rsid w:val="00AF66EB"/>
    <w:rsid w:val="00AF6C95"/>
    <w:rsid w:val="00AF6CB1"/>
    <w:rsid w:val="00AF70D4"/>
    <w:rsid w:val="00AF7338"/>
    <w:rsid w:val="00AF7564"/>
    <w:rsid w:val="00AF7949"/>
    <w:rsid w:val="00AF79C5"/>
    <w:rsid w:val="00AF7B5D"/>
    <w:rsid w:val="00AF7D3F"/>
    <w:rsid w:val="00AF7D6F"/>
    <w:rsid w:val="00AF7EC1"/>
    <w:rsid w:val="00AF7F16"/>
    <w:rsid w:val="00AF7FB0"/>
    <w:rsid w:val="00B0006B"/>
    <w:rsid w:val="00B005E3"/>
    <w:rsid w:val="00B00875"/>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84D"/>
    <w:rsid w:val="00B058EB"/>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451"/>
    <w:rsid w:val="00B17906"/>
    <w:rsid w:val="00B17944"/>
    <w:rsid w:val="00B17D70"/>
    <w:rsid w:val="00B17E7E"/>
    <w:rsid w:val="00B17EB5"/>
    <w:rsid w:val="00B20219"/>
    <w:rsid w:val="00B2023A"/>
    <w:rsid w:val="00B20433"/>
    <w:rsid w:val="00B2068B"/>
    <w:rsid w:val="00B20805"/>
    <w:rsid w:val="00B209C8"/>
    <w:rsid w:val="00B20A3F"/>
    <w:rsid w:val="00B20AC8"/>
    <w:rsid w:val="00B20C4A"/>
    <w:rsid w:val="00B20CD1"/>
    <w:rsid w:val="00B21002"/>
    <w:rsid w:val="00B211BA"/>
    <w:rsid w:val="00B21312"/>
    <w:rsid w:val="00B2143D"/>
    <w:rsid w:val="00B216CF"/>
    <w:rsid w:val="00B2195C"/>
    <w:rsid w:val="00B21A64"/>
    <w:rsid w:val="00B21B14"/>
    <w:rsid w:val="00B21B28"/>
    <w:rsid w:val="00B21B8D"/>
    <w:rsid w:val="00B21BA7"/>
    <w:rsid w:val="00B21D56"/>
    <w:rsid w:val="00B21D83"/>
    <w:rsid w:val="00B22598"/>
    <w:rsid w:val="00B226DA"/>
    <w:rsid w:val="00B22933"/>
    <w:rsid w:val="00B22EA0"/>
    <w:rsid w:val="00B22F9F"/>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5FEA"/>
    <w:rsid w:val="00B26025"/>
    <w:rsid w:val="00B2629E"/>
    <w:rsid w:val="00B262C6"/>
    <w:rsid w:val="00B263BF"/>
    <w:rsid w:val="00B26914"/>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B9"/>
    <w:rsid w:val="00B303D9"/>
    <w:rsid w:val="00B304C2"/>
    <w:rsid w:val="00B30540"/>
    <w:rsid w:val="00B308D8"/>
    <w:rsid w:val="00B30952"/>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966"/>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C9"/>
    <w:rsid w:val="00B4540B"/>
    <w:rsid w:val="00B454D8"/>
    <w:rsid w:val="00B45675"/>
    <w:rsid w:val="00B45873"/>
    <w:rsid w:val="00B45CAA"/>
    <w:rsid w:val="00B45E62"/>
    <w:rsid w:val="00B46047"/>
    <w:rsid w:val="00B4607B"/>
    <w:rsid w:val="00B4614C"/>
    <w:rsid w:val="00B46BB9"/>
    <w:rsid w:val="00B46CA5"/>
    <w:rsid w:val="00B47099"/>
    <w:rsid w:val="00B474C8"/>
    <w:rsid w:val="00B474E6"/>
    <w:rsid w:val="00B47751"/>
    <w:rsid w:val="00B47DD7"/>
    <w:rsid w:val="00B5034B"/>
    <w:rsid w:val="00B503DC"/>
    <w:rsid w:val="00B50428"/>
    <w:rsid w:val="00B5150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65"/>
    <w:rsid w:val="00B56EA7"/>
    <w:rsid w:val="00B570F7"/>
    <w:rsid w:val="00B571A3"/>
    <w:rsid w:val="00B57652"/>
    <w:rsid w:val="00B576FE"/>
    <w:rsid w:val="00B57CDE"/>
    <w:rsid w:val="00B57DAF"/>
    <w:rsid w:val="00B57E44"/>
    <w:rsid w:val="00B57E86"/>
    <w:rsid w:val="00B60023"/>
    <w:rsid w:val="00B60B60"/>
    <w:rsid w:val="00B60BAA"/>
    <w:rsid w:val="00B60CFE"/>
    <w:rsid w:val="00B614CB"/>
    <w:rsid w:val="00B616AF"/>
    <w:rsid w:val="00B618EB"/>
    <w:rsid w:val="00B61C7E"/>
    <w:rsid w:val="00B61E88"/>
    <w:rsid w:val="00B62368"/>
    <w:rsid w:val="00B624C2"/>
    <w:rsid w:val="00B6295B"/>
    <w:rsid w:val="00B63035"/>
    <w:rsid w:val="00B631B1"/>
    <w:rsid w:val="00B631C2"/>
    <w:rsid w:val="00B6333A"/>
    <w:rsid w:val="00B6335D"/>
    <w:rsid w:val="00B63417"/>
    <w:rsid w:val="00B634FC"/>
    <w:rsid w:val="00B6370B"/>
    <w:rsid w:val="00B638A4"/>
    <w:rsid w:val="00B63909"/>
    <w:rsid w:val="00B6391D"/>
    <w:rsid w:val="00B63934"/>
    <w:rsid w:val="00B639CA"/>
    <w:rsid w:val="00B63FB5"/>
    <w:rsid w:val="00B64011"/>
    <w:rsid w:val="00B640D8"/>
    <w:rsid w:val="00B6488E"/>
    <w:rsid w:val="00B64B56"/>
    <w:rsid w:val="00B64BA3"/>
    <w:rsid w:val="00B64BAA"/>
    <w:rsid w:val="00B64C54"/>
    <w:rsid w:val="00B64DE6"/>
    <w:rsid w:val="00B64F9D"/>
    <w:rsid w:val="00B650CA"/>
    <w:rsid w:val="00B6541A"/>
    <w:rsid w:val="00B6545C"/>
    <w:rsid w:val="00B661D3"/>
    <w:rsid w:val="00B66434"/>
    <w:rsid w:val="00B66574"/>
    <w:rsid w:val="00B66CD5"/>
    <w:rsid w:val="00B66D67"/>
    <w:rsid w:val="00B66EC0"/>
    <w:rsid w:val="00B670BB"/>
    <w:rsid w:val="00B6727F"/>
    <w:rsid w:val="00B677FC"/>
    <w:rsid w:val="00B679C2"/>
    <w:rsid w:val="00B67D43"/>
    <w:rsid w:val="00B7036D"/>
    <w:rsid w:val="00B703E0"/>
    <w:rsid w:val="00B7071C"/>
    <w:rsid w:val="00B708A3"/>
    <w:rsid w:val="00B70BC2"/>
    <w:rsid w:val="00B70D91"/>
    <w:rsid w:val="00B70E42"/>
    <w:rsid w:val="00B7133E"/>
    <w:rsid w:val="00B71374"/>
    <w:rsid w:val="00B71BC7"/>
    <w:rsid w:val="00B71C00"/>
    <w:rsid w:val="00B71E14"/>
    <w:rsid w:val="00B7200F"/>
    <w:rsid w:val="00B72124"/>
    <w:rsid w:val="00B724D9"/>
    <w:rsid w:val="00B7282D"/>
    <w:rsid w:val="00B72A9C"/>
    <w:rsid w:val="00B72AB2"/>
    <w:rsid w:val="00B730ED"/>
    <w:rsid w:val="00B7311B"/>
    <w:rsid w:val="00B7336F"/>
    <w:rsid w:val="00B73387"/>
    <w:rsid w:val="00B733EF"/>
    <w:rsid w:val="00B734C5"/>
    <w:rsid w:val="00B735F9"/>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B55"/>
    <w:rsid w:val="00B76D54"/>
    <w:rsid w:val="00B76DCD"/>
    <w:rsid w:val="00B77292"/>
    <w:rsid w:val="00B77413"/>
    <w:rsid w:val="00B774A6"/>
    <w:rsid w:val="00B7758E"/>
    <w:rsid w:val="00B7772E"/>
    <w:rsid w:val="00B778A6"/>
    <w:rsid w:val="00B778AA"/>
    <w:rsid w:val="00B77C51"/>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914"/>
    <w:rsid w:val="00B82A4F"/>
    <w:rsid w:val="00B82EA4"/>
    <w:rsid w:val="00B82F31"/>
    <w:rsid w:val="00B83318"/>
    <w:rsid w:val="00B835BD"/>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CAA"/>
    <w:rsid w:val="00B85F0B"/>
    <w:rsid w:val="00B85F4D"/>
    <w:rsid w:val="00B86490"/>
    <w:rsid w:val="00B86548"/>
    <w:rsid w:val="00B866D1"/>
    <w:rsid w:val="00B867EB"/>
    <w:rsid w:val="00B86A43"/>
    <w:rsid w:val="00B86B98"/>
    <w:rsid w:val="00B86BD6"/>
    <w:rsid w:val="00B86CAA"/>
    <w:rsid w:val="00B86D50"/>
    <w:rsid w:val="00B86EE4"/>
    <w:rsid w:val="00B870AA"/>
    <w:rsid w:val="00B872BE"/>
    <w:rsid w:val="00B87362"/>
    <w:rsid w:val="00B873CD"/>
    <w:rsid w:val="00B87659"/>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3B"/>
    <w:rsid w:val="00BA0FE4"/>
    <w:rsid w:val="00BA109E"/>
    <w:rsid w:val="00BA10CD"/>
    <w:rsid w:val="00BA12FD"/>
    <w:rsid w:val="00BA178D"/>
    <w:rsid w:val="00BA17FE"/>
    <w:rsid w:val="00BA18D1"/>
    <w:rsid w:val="00BA18D2"/>
    <w:rsid w:val="00BA1B11"/>
    <w:rsid w:val="00BA2086"/>
    <w:rsid w:val="00BA211D"/>
    <w:rsid w:val="00BA2120"/>
    <w:rsid w:val="00BA216E"/>
    <w:rsid w:val="00BA26C0"/>
    <w:rsid w:val="00BA27D5"/>
    <w:rsid w:val="00BA29FE"/>
    <w:rsid w:val="00BA3182"/>
    <w:rsid w:val="00BA326C"/>
    <w:rsid w:val="00BA3436"/>
    <w:rsid w:val="00BA34C9"/>
    <w:rsid w:val="00BA3F15"/>
    <w:rsid w:val="00BA41B4"/>
    <w:rsid w:val="00BA4712"/>
    <w:rsid w:val="00BA493B"/>
    <w:rsid w:val="00BA4993"/>
    <w:rsid w:val="00BA49A5"/>
    <w:rsid w:val="00BA4A05"/>
    <w:rsid w:val="00BA4AAF"/>
    <w:rsid w:val="00BA4F05"/>
    <w:rsid w:val="00BA565E"/>
    <w:rsid w:val="00BA5C4F"/>
    <w:rsid w:val="00BA5D56"/>
    <w:rsid w:val="00BA6295"/>
    <w:rsid w:val="00BA687D"/>
    <w:rsid w:val="00BA696C"/>
    <w:rsid w:val="00BA6CA1"/>
    <w:rsid w:val="00BA6EF3"/>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8D2"/>
    <w:rsid w:val="00BB1A67"/>
    <w:rsid w:val="00BB1B46"/>
    <w:rsid w:val="00BB1BEA"/>
    <w:rsid w:val="00BB1C65"/>
    <w:rsid w:val="00BB1D7C"/>
    <w:rsid w:val="00BB1DB2"/>
    <w:rsid w:val="00BB1E35"/>
    <w:rsid w:val="00BB20EC"/>
    <w:rsid w:val="00BB2531"/>
    <w:rsid w:val="00BB27D6"/>
    <w:rsid w:val="00BB2C12"/>
    <w:rsid w:val="00BB2CF4"/>
    <w:rsid w:val="00BB38D6"/>
    <w:rsid w:val="00BB4037"/>
    <w:rsid w:val="00BB408D"/>
    <w:rsid w:val="00BB448A"/>
    <w:rsid w:val="00BB45C9"/>
    <w:rsid w:val="00BB4A68"/>
    <w:rsid w:val="00BB4BB4"/>
    <w:rsid w:val="00BB4EC2"/>
    <w:rsid w:val="00BB565C"/>
    <w:rsid w:val="00BB5923"/>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51A"/>
    <w:rsid w:val="00BC0EB0"/>
    <w:rsid w:val="00BC10D6"/>
    <w:rsid w:val="00BC10DC"/>
    <w:rsid w:val="00BC1209"/>
    <w:rsid w:val="00BC149E"/>
    <w:rsid w:val="00BC154B"/>
    <w:rsid w:val="00BC157B"/>
    <w:rsid w:val="00BC177B"/>
    <w:rsid w:val="00BC1AAD"/>
    <w:rsid w:val="00BC1AF8"/>
    <w:rsid w:val="00BC1D39"/>
    <w:rsid w:val="00BC1D67"/>
    <w:rsid w:val="00BC1E3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81B"/>
    <w:rsid w:val="00BC5989"/>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713"/>
    <w:rsid w:val="00BD188B"/>
    <w:rsid w:val="00BD1F0D"/>
    <w:rsid w:val="00BD200A"/>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17"/>
    <w:rsid w:val="00BE105F"/>
    <w:rsid w:val="00BE10B7"/>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91"/>
    <w:rsid w:val="00BF69EA"/>
    <w:rsid w:val="00BF6FDA"/>
    <w:rsid w:val="00BF7093"/>
    <w:rsid w:val="00BF759A"/>
    <w:rsid w:val="00BF7958"/>
    <w:rsid w:val="00BF7A29"/>
    <w:rsid w:val="00BF7ACA"/>
    <w:rsid w:val="00BF7BE7"/>
    <w:rsid w:val="00C000E4"/>
    <w:rsid w:val="00C00441"/>
    <w:rsid w:val="00C00D8E"/>
    <w:rsid w:val="00C00EA3"/>
    <w:rsid w:val="00C00F2F"/>
    <w:rsid w:val="00C00F79"/>
    <w:rsid w:val="00C00F8B"/>
    <w:rsid w:val="00C0148D"/>
    <w:rsid w:val="00C015F2"/>
    <w:rsid w:val="00C016E0"/>
    <w:rsid w:val="00C0210D"/>
    <w:rsid w:val="00C021AE"/>
    <w:rsid w:val="00C02200"/>
    <w:rsid w:val="00C02831"/>
    <w:rsid w:val="00C02CB8"/>
    <w:rsid w:val="00C03030"/>
    <w:rsid w:val="00C03053"/>
    <w:rsid w:val="00C0333A"/>
    <w:rsid w:val="00C03516"/>
    <w:rsid w:val="00C03575"/>
    <w:rsid w:val="00C0368F"/>
    <w:rsid w:val="00C036A3"/>
    <w:rsid w:val="00C03C1E"/>
    <w:rsid w:val="00C03CE4"/>
    <w:rsid w:val="00C03DBE"/>
    <w:rsid w:val="00C03DC2"/>
    <w:rsid w:val="00C03E94"/>
    <w:rsid w:val="00C04578"/>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803"/>
    <w:rsid w:val="00C10EEB"/>
    <w:rsid w:val="00C11467"/>
    <w:rsid w:val="00C11638"/>
    <w:rsid w:val="00C116FB"/>
    <w:rsid w:val="00C119FF"/>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4F9"/>
    <w:rsid w:val="00C1751B"/>
    <w:rsid w:val="00C175EC"/>
    <w:rsid w:val="00C17752"/>
    <w:rsid w:val="00C17DEF"/>
    <w:rsid w:val="00C17E47"/>
    <w:rsid w:val="00C17FE0"/>
    <w:rsid w:val="00C201D5"/>
    <w:rsid w:val="00C203A5"/>
    <w:rsid w:val="00C203B0"/>
    <w:rsid w:val="00C205E5"/>
    <w:rsid w:val="00C20C79"/>
    <w:rsid w:val="00C210B9"/>
    <w:rsid w:val="00C211ED"/>
    <w:rsid w:val="00C2185A"/>
    <w:rsid w:val="00C22099"/>
    <w:rsid w:val="00C221C5"/>
    <w:rsid w:val="00C226F3"/>
    <w:rsid w:val="00C226FE"/>
    <w:rsid w:val="00C227CA"/>
    <w:rsid w:val="00C22871"/>
    <w:rsid w:val="00C228F5"/>
    <w:rsid w:val="00C22B7C"/>
    <w:rsid w:val="00C22C2A"/>
    <w:rsid w:val="00C23194"/>
    <w:rsid w:val="00C236C9"/>
    <w:rsid w:val="00C23749"/>
    <w:rsid w:val="00C24481"/>
    <w:rsid w:val="00C24825"/>
    <w:rsid w:val="00C24913"/>
    <w:rsid w:val="00C24D3C"/>
    <w:rsid w:val="00C24DDB"/>
    <w:rsid w:val="00C24E1D"/>
    <w:rsid w:val="00C2506B"/>
    <w:rsid w:val="00C251BF"/>
    <w:rsid w:val="00C2525E"/>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4E0"/>
    <w:rsid w:val="00C27631"/>
    <w:rsid w:val="00C27668"/>
    <w:rsid w:val="00C278C6"/>
    <w:rsid w:val="00C278D5"/>
    <w:rsid w:val="00C27B12"/>
    <w:rsid w:val="00C27D90"/>
    <w:rsid w:val="00C27E47"/>
    <w:rsid w:val="00C27F21"/>
    <w:rsid w:val="00C3018B"/>
    <w:rsid w:val="00C30307"/>
    <w:rsid w:val="00C30842"/>
    <w:rsid w:val="00C3084E"/>
    <w:rsid w:val="00C30CAE"/>
    <w:rsid w:val="00C31031"/>
    <w:rsid w:val="00C3152C"/>
    <w:rsid w:val="00C31975"/>
    <w:rsid w:val="00C31C99"/>
    <w:rsid w:val="00C31DC5"/>
    <w:rsid w:val="00C31F4C"/>
    <w:rsid w:val="00C326D6"/>
    <w:rsid w:val="00C32C34"/>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632"/>
    <w:rsid w:val="00C428EC"/>
    <w:rsid w:val="00C42B86"/>
    <w:rsid w:val="00C42E04"/>
    <w:rsid w:val="00C42FFC"/>
    <w:rsid w:val="00C43011"/>
    <w:rsid w:val="00C432F5"/>
    <w:rsid w:val="00C43598"/>
    <w:rsid w:val="00C438E3"/>
    <w:rsid w:val="00C43982"/>
    <w:rsid w:val="00C43D7F"/>
    <w:rsid w:val="00C43E7A"/>
    <w:rsid w:val="00C4460D"/>
    <w:rsid w:val="00C4469D"/>
    <w:rsid w:val="00C44BEE"/>
    <w:rsid w:val="00C44D7F"/>
    <w:rsid w:val="00C44F11"/>
    <w:rsid w:val="00C45488"/>
    <w:rsid w:val="00C458F4"/>
    <w:rsid w:val="00C45A84"/>
    <w:rsid w:val="00C45FCC"/>
    <w:rsid w:val="00C4605F"/>
    <w:rsid w:val="00C462FE"/>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6E0"/>
    <w:rsid w:val="00C50C91"/>
    <w:rsid w:val="00C50DD6"/>
    <w:rsid w:val="00C51166"/>
    <w:rsid w:val="00C51443"/>
    <w:rsid w:val="00C517EC"/>
    <w:rsid w:val="00C518D3"/>
    <w:rsid w:val="00C51D44"/>
    <w:rsid w:val="00C51E2C"/>
    <w:rsid w:val="00C51EC1"/>
    <w:rsid w:val="00C520B6"/>
    <w:rsid w:val="00C52110"/>
    <w:rsid w:val="00C52184"/>
    <w:rsid w:val="00C522D0"/>
    <w:rsid w:val="00C523A2"/>
    <w:rsid w:val="00C5243F"/>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57FAE"/>
    <w:rsid w:val="00C60081"/>
    <w:rsid w:val="00C600BD"/>
    <w:rsid w:val="00C602D0"/>
    <w:rsid w:val="00C60DF4"/>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6902"/>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61E"/>
    <w:rsid w:val="00C718D5"/>
    <w:rsid w:val="00C71E7D"/>
    <w:rsid w:val="00C71F6E"/>
    <w:rsid w:val="00C72188"/>
    <w:rsid w:val="00C722B7"/>
    <w:rsid w:val="00C728B0"/>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7614"/>
    <w:rsid w:val="00C77627"/>
    <w:rsid w:val="00C7775F"/>
    <w:rsid w:val="00C778C0"/>
    <w:rsid w:val="00C779E7"/>
    <w:rsid w:val="00C77CAE"/>
    <w:rsid w:val="00C8025A"/>
    <w:rsid w:val="00C8056F"/>
    <w:rsid w:val="00C80650"/>
    <w:rsid w:val="00C808A5"/>
    <w:rsid w:val="00C8091E"/>
    <w:rsid w:val="00C80BF9"/>
    <w:rsid w:val="00C80D4F"/>
    <w:rsid w:val="00C80EAC"/>
    <w:rsid w:val="00C810A1"/>
    <w:rsid w:val="00C81114"/>
    <w:rsid w:val="00C813BB"/>
    <w:rsid w:val="00C81497"/>
    <w:rsid w:val="00C821F2"/>
    <w:rsid w:val="00C82249"/>
    <w:rsid w:val="00C824F5"/>
    <w:rsid w:val="00C82D0D"/>
    <w:rsid w:val="00C82D23"/>
    <w:rsid w:val="00C82E34"/>
    <w:rsid w:val="00C82ED8"/>
    <w:rsid w:val="00C82F6E"/>
    <w:rsid w:val="00C83091"/>
    <w:rsid w:val="00C83212"/>
    <w:rsid w:val="00C8341D"/>
    <w:rsid w:val="00C83527"/>
    <w:rsid w:val="00C83582"/>
    <w:rsid w:val="00C83B88"/>
    <w:rsid w:val="00C84630"/>
    <w:rsid w:val="00C84761"/>
    <w:rsid w:val="00C848D9"/>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4EB"/>
    <w:rsid w:val="00C9061E"/>
    <w:rsid w:val="00C906AE"/>
    <w:rsid w:val="00C90A37"/>
    <w:rsid w:val="00C90A9A"/>
    <w:rsid w:val="00C90BBD"/>
    <w:rsid w:val="00C90C0D"/>
    <w:rsid w:val="00C910B4"/>
    <w:rsid w:val="00C91108"/>
    <w:rsid w:val="00C91172"/>
    <w:rsid w:val="00C911F5"/>
    <w:rsid w:val="00C917DF"/>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386"/>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0D7D"/>
    <w:rsid w:val="00CA1119"/>
    <w:rsid w:val="00CA1179"/>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61E0"/>
    <w:rsid w:val="00CA623A"/>
    <w:rsid w:val="00CA686F"/>
    <w:rsid w:val="00CA68A8"/>
    <w:rsid w:val="00CA694B"/>
    <w:rsid w:val="00CA6A11"/>
    <w:rsid w:val="00CA6CC5"/>
    <w:rsid w:val="00CA6EF2"/>
    <w:rsid w:val="00CA6F1B"/>
    <w:rsid w:val="00CA6FA0"/>
    <w:rsid w:val="00CA6FF7"/>
    <w:rsid w:val="00CA7351"/>
    <w:rsid w:val="00CA74E8"/>
    <w:rsid w:val="00CA76AC"/>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3082"/>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4A"/>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0A2"/>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399"/>
    <w:rsid w:val="00CD257D"/>
    <w:rsid w:val="00CD2681"/>
    <w:rsid w:val="00CD273B"/>
    <w:rsid w:val="00CD2A7C"/>
    <w:rsid w:val="00CD2D1C"/>
    <w:rsid w:val="00CD3052"/>
    <w:rsid w:val="00CD3343"/>
    <w:rsid w:val="00CD3709"/>
    <w:rsid w:val="00CD37FA"/>
    <w:rsid w:val="00CD380E"/>
    <w:rsid w:val="00CD3C44"/>
    <w:rsid w:val="00CD3DFD"/>
    <w:rsid w:val="00CD3E39"/>
    <w:rsid w:val="00CD3EC3"/>
    <w:rsid w:val="00CD3FFF"/>
    <w:rsid w:val="00CD41D7"/>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657"/>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25A"/>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C52"/>
    <w:rsid w:val="00CF0D80"/>
    <w:rsid w:val="00CF15AF"/>
    <w:rsid w:val="00CF186F"/>
    <w:rsid w:val="00CF18B0"/>
    <w:rsid w:val="00CF1A2A"/>
    <w:rsid w:val="00CF1C87"/>
    <w:rsid w:val="00CF1EA4"/>
    <w:rsid w:val="00CF203A"/>
    <w:rsid w:val="00CF24A4"/>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701"/>
    <w:rsid w:val="00CF4970"/>
    <w:rsid w:val="00CF49A0"/>
    <w:rsid w:val="00CF4A60"/>
    <w:rsid w:val="00CF4BFB"/>
    <w:rsid w:val="00CF4D41"/>
    <w:rsid w:val="00CF4DF8"/>
    <w:rsid w:val="00CF4EB2"/>
    <w:rsid w:val="00CF4F04"/>
    <w:rsid w:val="00CF4FEF"/>
    <w:rsid w:val="00CF55D5"/>
    <w:rsid w:val="00CF5A7E"/>
    <w:rsid w:val="00CF5D28"/>
    <w:rsid w:val="00CF5E7F"/>
    <w:rsid w:val="00CF607D"/>
    <w:rsid w:val="00CF62C3"/>
    <w:rsid w:val="00CF6773"/>
    <w:rsid w:val="00CF6A52"/>
    <w:rsid w:val="00CF6C71"/>
    <w:rsid w:val="00CF6CE7"/>
    <w:rsid w:val="00CF74A3"/>
    <w:rsid w:val="00CF7B2D"/>
    <w:rsid w:val="00CF7BFB"/>
    <w:rsid w:val="00CF7D47"/>
    <w:rsid w:val="00CF7D72"/>
    <w:rsid w:val="00CF7D73"/>
    <w:rsid w:val="00CF7F35"/>
    <w:rsid w:val="00D00534"/>
    <w:rsid w:val="00D00616"/>
    <w:rsid w:val="00D008DF"/>
    <w:rsid w:val="00D00976"/>
    <w:rsid w:val="00D00A67"/>
    <w:rsid w:val="00D00E0A"/>
    <w:rsid w:val="00D00E70"/>
    <w:rsid w:val="00D00F06"/>
    <w:rsid w:val="00D01425"/>
    <w:rsid w:val="00D0177D"/>
    <w:rsid w:val="00D01793"/>
    <w:rsid w:val="00D01EF3"/>
    <w:rsid w:val="00D02016"/>
    <w:rsid w:val="00D02986"/>
    <w:rsid w:val="00D02BE9"/>
    <w:rsid w:val="00D02E72"/>
    <w:rsid w:val="00D02EF0"/>
    <w:rsid w:val="00D02FA5"/>
    <w:rsid w:val="00D03100"/>
    <w:rsid w:val="00D03339"/>
    <w:rsid w:val="00D03435"/>
    <w:rsid w:val="00D0352A"/>
    <w:rsid w:val="00D03913"/>
    <w:rsid w:val="00D03CA2"/>
    <w:rsid w:val="00D03EC7"/>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3D"/>
    <w:rsid w:val="00D05F7C"/>
    <w:rsid w:val="00D062D1"/>
    <w:rsid w:val="00D06658"/>
    <w:rsid w:val="00D0688E"/>
    <w:rsid w:val="00D06A5F"/>
    <w:rsid w:val="00D06ADE"/>
    <w:rsid w:val="00D0710C"/>
    <w:rsid w:val="00D075EA"/>
    <w:rsid w:val="00D07609"/>
    <w:rsid w:val="00D07F60"/>
    <w:rsid w:val="00D07FB0"/>
    <w:rsid w:val="00D100AB"/>
    <w:rsid w:val="00D10501"/>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3CF"/>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A8"/>
    <w:rsid w:val="00D17AD8"/>
    <w:rsid w:val="00D17CAE"/>
    <w:rsid w:val="00D200D5"/>
    <w:rsid w:val="00D2012A"/>
    <w:rsid w:val="00D205FA"/>
    <w:rsid w:val="00D20856"/>
    <w:rsid w:val="00D20AC1"/>
    <w:rsid w:val="00D20AE5"/>
    <w:rsid w:val="00D20B17"/>
    <w:rsid w:val="00D21152"/>
    <w:rsid w:val="00D21654"/>
    <w:rsid w:val="00D21693"/>
    <w:rsid w:val="00D21733"/>
    <w:rsid w:val="00D2176F"/>
    <w:rsid w:val="00D21BF0"/>
    <w:rsid w:val="00D21C25"/>
    <w:rsid w:val="00D21D17"/>
    <w:rsid w:val="00D21EF7"/>
    <w:rsid w:val="00D21FEC"/>
    <w:rsid w:val="00D2228D"/>
    <w:rsid w:val="00D22326"/>
    <w:rsid w:val="00D22348"/>
    <w:rsid w:val="00D223EF"/>
    <w:rsid w:val="00D2243A"/>
    <w:rsid w:val="00D224CE"/>
    <w:rsid w:val="00D224F3"/>
    <w:rsid w:val="00D225A2"/>
    <w:rsid w:val="00D228EB"/>
    <w:rsid w:val="00D229CC"/>
    <w:rsid w:val="00D22B27"/>
    <w:rsid w:val="00D23089"/>
    <w:rsid w:val="00D231A9"/>
    <w:rsid w:val="00D234DA"/>
    <w:rsid w:val="00D23D4F"/>
    <w:rsid w:val="00D241CE"/>
    <w:rsid w:val="00D24239"/>
    <w:rsid w:val="00D2427B"/>
    <w:rsid w:val="00D2455F"/>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0F48"/>
    <w:rsid w:val="00D310AA"/>
    <w:rsid w:val="00D31226"/>
    <w:rsid w:val="00D31523"/>
    <w:rsid w:val="00D315B8"/>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16A"/>
    <w:rsid w:val="00D44292"/>
    <w:rsid w:val="00D44386"/>
    <w:rsid w:val="00D447C4"/>
    <w:rsid w:val="00D447F6"/>
    <w:rsid w:val="00D4487D"/>
    <w:rsid w:val="00D44C41"/>
    <w:rsid w:val="00D4503C"/>
    <w:rsid w:val="00D452E1"/>
    <w:rsid w:val="00D453E9"/>
    <w:rsid w:val="00D4542C"/>
    <w:rsid w:val="00D45719"/>
    <w:rsid w:val="00D458AA"/>
    <w:rsid w:val="00D45E09"/>
    <w:rsid w:val="00D46180"/>
    <w:rsid w:val="00D462CC"/>
    <w:rsid w:val="00D4632E"/>
    <w:rsid w:val="00D4699A"/>
    <w:rsid w:val="00D46E5E"/>
    <w:rsid w:val="00D46E75"/>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C5A"/>
    <w:rsid w:val="00D51D44"/>
    <w:rsid w:val="00D51D4D"/>
    <w:rsid w:val="00D522D6"/>
    <w:rsid w:val="00D5237A"/>
    <w:rsid w:val="00D5248F"/>
    <w:rsid w:val="00D52654"/>
    <w:rsid w:val="00D5271B"/>
    <w:rsid w:val="00D52ECE"/>
    <w:rsid w:val="00D52F48"/>
    <w:rsid w:val="00D531DE"/>
    <w:rsid w:val="00D5324B"/>
    <w:rsid w:val="00D53368"/>
    <w:rsid w:val="00D53955"/>
    <w:rsid w:val="00D53C61"/>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57EEA"/>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402"/>
    <w:rsid w:val="00D72447"/>
    <w:rsid w:val="00D725CF"/>
    <w:rsid w:val="00D72836"/>
    <w:rsid w:val="00D72D5D"/>
    <w:rsid w:val="00D72FB9"/>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3EA"/>
    <w:rsid w:val="00D75664"/>
    <w:rsid w:val="00D75AF5"/>
    <w:rsid w:val="00D75D20"/>
    <w:rsid w:val="00D75E0E"/>
    <w:rsid w:val="00D7605A"/>
    <w:rsid w:val="00D7631B"/>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3FE1"/>
    <w:rsid w:val="00D84853"/>
    <w:rsid w:val="00D849FE"/>
    <w:rsid w:val="00D84A5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6DD5"/>
    <w:rsid w:val="00D86EF7"/>
    <w:rsid w:val="00D871E7"/>
    <w:rsid w:val="00D8720A"/>
    <w:rsid w:val="00D87344"/>
    <w:rsid w:val="00D8738E"/>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4E90"/>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E5D"/>
    <w:rsid w:val="00DA1F88"/>
    <w:rsid w:val="00DA21F4"/>
    <w:rsid w:val="00DA2346"/>
    <w:rsid w:val="00DA24C3"/>
    <w:rsid w:val="00DA25EC"/>
    <w:rsid w:val="00DA26EC"/>
    <w:rsid w:val="00DA2B0F"/>
    <w:rsid w:val="00DA2D00"/>
    <w:rsid w:val="00DA3137"/>
    <w:rsid w:val="00DA357B"/>
    <w:rsid w:val="00DA35CC"/>
    <w:rsid w:val="00DA3629"/>
    <w:rsid w:val="00DA37B3"/>
    <w:rsid w:val="00DA37BB"/>
    <w:rsid w:val="00DA3DE5"/>
    <w:rsid w:val="00DA3F2A"/>
    <w:rsid w:val="00DA412A"/>
    <w:rsid w:val="00DA4581"/>
    <w:rsid w:val="00DA4590"/>
    <w:rsid w:val="00DA45AC"/>
    <w:rsid w:val="00DA4725"/>
    <w:rsid w:val="00DA4A64"/>
    <w:rsid w:val="00DA4A98"/>
    <w:rsid w:val="00DA4AA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10C"/>
    <w:rsid w:val="00DB2323"/>
    <w:rsid w:val="00DB2335"/>
    <w:rsid w:val="00DB2970"/>
    <w:rsid w:val="00DB2B5D"/>
    <w:rsid w:val="00DB2B77"/>
    <w:rsid w:val="00DB2FB6"/>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E22"/>
    <w:rsid w:val="00DB4FA5"/>
    <w:rsid w:val="00DB50B1"/>
    <w:rsid w:val="00DB50EC"/>
    <w:rsid w:val="00DB51D5"/>
    <w:rsid w:val="00DB540A"/>
    <w:rsid w:val="00DB545B"/>
    <w:rsid w:val="00DB57B8"/>
    <w:rsid w:val="00DB5D2A"/>
    <w:rsid w:val="00DB5EE6"/>
    <w:rsid w:val="00DB6180"/>
    <w:rsid w:val="00DB61E2"/>
    <w:rsid w:val="00DB650E"/>
    <w:rsid w:val="00DB6647"/>
    <w:rsid w:val="00DB66CE"/>
    <w:rsid w:val="00DB67FF"/>
    <w:rsid w:val="00DB682D"/>
    <w:rsid w:val="00DB6A1D"/>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19"/>
    <w:rsid w:val="00DC199A"/>
    <w:rsid w:val="00DC1A30"/>
    <w:rsid w:val="00DC1B98"/>
    <w:rsid w:val="00DC1BA4"/>
    <w:rsid w:val="00DC2307"/>
    <w:rsid w:val="00DC2B17"/>
    <w:rsid w:val="00DC2BD7"/>
    <w:rsid w:val="00DC2E84"/>
    <w:rsid w:val="00DC2EF6"/>
    <w:rsid w:val="00DC2F4D"/>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0FD3"/>
    <w:rsid w:val="00DD106E"/>
    <w:rsid w:val="00DD116B"/>
    <w:rsid w:val="00DD12F2"/>
    <w:rsid w:val="00DD1621"/>
    <w:rsid w:val="00DD1932"/>
    <w:rsid w:val="00DD1A26"/>
    <w:rsid w:val="00DD1A47"/>
    <w:rsid w:val="00DD1D9A"/>
    <w:rsid w:val="00DD245E"/>
    <w:rsid w:val="00DD249C"/>
    <w:rsid w:val="00DD260B"/>
    <w:rsid w:val="00DD27BB"/>
    <w:rsid w:val="00DD3171"/>
    <w:rsid w:val="00DD3218"/>
    <w:rsid w:val="00DD337C"/>
    <w:rsid w:val="00DD338A"/>
    <w:rsid w:val="00DD3400"/>
    <w:rsid w:val="00DD35E2"/>
    <w:rsid w:val="00DD373E"/>
    <w:rsid w:val="00DD3C9F"/>
    <w:rsid w:val="00DD3FEE"/>
    <w:rsid w:val="00DD4427"/>
    <w:rsid w:val="00DD48C7"/>
    <w:rsid w:val="00DD48D9"/>
    <w:rsid w:val="00DD4904"/>
    <w:rsid w:val="00DD4B69"/>
    <w:rsid w:val="00DD54EA"/>
    <w:rsid w:val="00DD5910"/>
    <w:rsid w:val="00DD591D"/>
    <w:rsid w:val="00DD5EB7"/>
    <w:rsid w:val="00DD5F90"/>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39DC"/>
    <w:rsid w:val="00DE4564"/>
    <w:rsid w:val="00DE4668"/>
    <w:rsid w:val="00DE4CBC"/>
    <w:rsid w:val="00DE5015"/>
    <w:rsid w:val="00DE5266"/>
    <w:rsid w:val="00DE593B"/>
    <w:rsid w:val="00DE5AFE"/>
    <w:rsid w:val="00DE5E71"/>
    <w:rsid w:val="00DE5FFB"/>
    <w:rsid w:val="00DE62E1"/>
    <w:rsid w:val="00DE641C"/>
    <w:rsid w:val="00DE6975"/>
    <w:rsid w:val="00DE699A"/>
    <w:rsid w:val="00DE6D06"/>
    <w:rsid w:val="00DE711D"/>
    <w:rsid w:val="00DE71DC"/>
    <w:rsid w:val="00DE7298"/>
    <w:rsid w:val="00DE7557"/>
    <w:rsid w:val="00DE7A2A"/>
    <w:rsid w:val="00DE7D7E"/>
    <w:rsid w:val="00DF048E"/>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4D1A"/>
    <w:rsid w:val="00DF51A6"/>
    <w:rsid w:val="00DF51AF"/>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0C98"/>
    <w:rsid w:val="00E0113A"/>
    <w:rsid w:val="00E01742"/>
    <w:rsid w:val="00E018B7"/>
    <w:rsid w:val="00E01B57"/>
    <w:rsid w:val="00E01B92"/>
    <w:rsid w:val="00E01C24"/>
    <w:rsid w:val="00E01EA2"/>
    <w:rsid w:val="00E02049"/>
    <w:rsid w:val="00E0252C"/>
    <w:rsid w:val="00E027B9"/>
    <w:rsid w:val="00E02866"/>
    <w:rsid w:val="00E02B34"/>
    <w:rsid w:val="00E02C4E"/>
    <w:rsid w:val="00E02CA1"/>
    <w:rsid w:val="00E02DFC"/>
    <w:rsid w:val="00E035A8"/>
    <w:rsid w:val="00E035BB"/>
    <w:rsid w:val="00E03AED"/>
    <w:rsid w:val="00E03CCB"/>
    <w:rsid w:val="00E03CE7"/>
    <w:rsid w:val="00E03E6C"/>
    <w:rsid w:val="00E03F95"/>
    <w:rsid w:val="00E04180"/>
    <w:rsid w:val="00E04569"/>
    <w:rsid w:val="00E04AA5"/>
    <w:rsid w:val="00E04D2E"/>
    <w:rsid w:val="00E05008"/>
    <w:rsid w:val="00E05032"/>
    <w:rsid w:val="00E0573F"/>
    <w:rsid w:val="00E05D6F"/>
    <w:rsid w:val="00E05F25"/>
    <w:rsid w:val="00E05FA8"/>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EFC"/>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955"/>
    <w:rsid w:val="00E16C7D"/>
    <w:rsid w:val="00E16CAC"/>
    <w:rsid w:val="00E17259"/>
    <w:rsid w:val="00E17346"/>
    <w:rsid w:val="00E17789"/>
    <w:rsid w:val="00E17944"/>
    <w:rsid w:val="00E179FD"/>
    <w:rsid w:val="00E17A01"/>
    <w:rsid w:val="00E17D20"/>
    <w:rsid w:val="00E17E74"/>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B5D"/>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CA9"/>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673"/>
    <w:rsid w:val="00E4675B"/>
    <w:rsid w:val="00E46910"/>
    <w:rsid w:val="00E47210"/>
    <w:rsid w:val="00E476F8"/>
    <w:rsid w:val="00E47D11"/>
    <w:rsid w:val="00E50220"/>
    <w:rsid w:val="00E50557"/>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1FE1"/>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123"/>
    <w:rsid w:val="00E662CB"/>
    <w:rsid w:val="00E66E90"/>
    <w:rsid w:val="00E66FB9"/>
    <w:rsid w:val="00E6706A"/>
    <w:rsid w:val="00E673D6"/>
    <w:rsid w:val="00E6749F"/>
    <w:rsid w:val="00E67AAC"/>
    <w:rsid w:val="00E67EEB"/>
    <w:rsid w:val="00E67F4B"/>
    <w:rsid w:val="00E703F4"/>
    <w:rsid w:val="00E70BC5"/>
    <w:rsid w:val="00E70C10"/>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303"/>
    <w:rsid w:val="00E7391C"/>
    <w:rsid w:val="00E739D3"/>
    <w:rsid w:val="00E74013"/>
    <w:rsid w:val="00E7435B"/>
    <w:rsid w:val="00E746C5"/>
    <w:rsid w:val="00E74A7C"/>
    <w:rsid w:val="00E74DA1"/>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77D08"/>
    <w:rsid w:val="00E8023E"/>
    <w:rsid w:val="00E80295"/>
    <w:rsid w:val="00E80728"/>
    <w:rsid w:val="00E80896"/>
    <w:rsid w:val="00E80A88"/>
    <w:rsid w:val="00E81CCA"/>
    <w:rsid w:val="00E821D1"/>
    <w:rsid w:val="00E8228D"/>
    <w:rsid w:val="00E82948"/>
    <w:rsid w:val="00E829A3"/>
    <w:rsid w:val="00E82BB2"/>
    <w:rsid w:val="00E82C5B"/>
    <w:rsid w:val="00E82C80"/>
    <w:rsid w:val="00E82CED"/>
    <w:rsid w:val="00E8310E"/>
    <w:rsid w:val="00E83322"/>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9A5"/>
    <w:rsid w:val="00E92AD0"/>
    <w:rsid w:val="00E92E90"/>
    <w:rsid w:val="00E92FE3"/>
    <w:rsid w:val="00E93273"/>
    <w:rsid w:val="00E934DA"/>
    <w:rsid w:val="00E936BA"/>
    <w:rsid w:val="00E938A0"/>
    <w:rsid w:val="00E939D2"/>
    <w:rsid w:val="00E93F0D"/>
    <w:rsid w:val="00E94145"/>
    <w:rsid w:val="00E946C8"/>
    <w:rsid w:val="00E947ED"/>
    <w:rsid w:val="00E94E5C"/>
    <w:rsid w:val="00E94EF6"/>
    <w:rsid w:val="00E95093"/>
    <w:rsid w:val="00E9521F"/>
    <w:rsid w:val="00E953C8"/>
    <w:rsid w:val="00E95430"/>
    <w:rsid w:val="00E9629D"/>
    <w:rsid w:val="00E966A8"/>
    <w:rsid w:val="00E969A1"/>
    <w:rsid w:val="00E969D5"/>
    <w:rsid w:val="00E969F5"/>
    <w:rsid w:val="00E96DFB"/>
    <w:rsid w:val="00E97247"/>
    <w:rsid w:val="00E974EB"/>
    <w:rsid w:val="00E9781F"/>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C52"/>
    <w:rsid w:val="00EA3DD8"/>
    <w:rsid w:val="00EA4082"/>
    <w:rsid w:val="00EA46C4"/>
    <w:rsid w:val="00EA49C9"/>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AF7"/>
    <w:rsid w:val="00EB2DE8"/>
    <w:rsid w:val="00EB2E10"/>
    <w:rsid w:val="00EB33EC"/>
    <w:rsid w:val="00EB347A"/>
    <w:rsid w:val="00EB36DA"/>
    <w:rsid w:val="00EB36ED"/>
    <w:rsid w:val="00EB3778"/>
    <w:rsid w:val="00EB383E"/>
    <w:rsid w:val="00EB383F"/>
    <w:rsid w:val="00EB38F8"/>
    <w:rsid w:val="00EB3A70"/>
    <w:rsid w:val="00EB3BA4"/>
    <w:rsid w:val="00EB3D96"/>
    <w:rsid w:val="00EB3E08"/>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3C9"/>
    <w:rsid w:val="00EC09FD"/>
    <w:rsid w:val="00EC0AE8"/>
    <w:rsid w:val="00EC0BBD"/>
    <w:rsid w:val="00EC0DE9"/>
    <w:rsid w:val="00EC0DED"/>
    <w:rsid w:val="00EC1635"/>
    <w:rsid w:val="00EC175B"/>
    <w:rsid w:val="00EC1857"/>
    <w:rsid w:val="00EC195B"/>
    <w:rsid w:val="00EC21D6"/>
    <w:rsid w:val="00EC228A"/>
    <w:rsid w:val="00EC245A"/>
    <w:rsid w:val="00EC2594"/>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1D9"/>
    <w:rsid w:val="00EC724E"/>
    <w:rsid w:val="00EC7302"/>
    <w:rsid w:val="00EC7364"/>
    <w:rsid w:val="00EC7398"/>
    <w:rsid w:val="00EC77DE"/>
    <w:rsid w:val="00EC7C44"/>
    <w:rsid w:val="00EC7CBA"/>
    <w:rsid w:val="00EC7DFE"/>
    <w:rsid w:val="00EC7E13"/>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15F"/>
    <w:rsid w:val="00ED3671"/>
    <w:rsid w:val="00ED38DE"/>
    <w:rsid w:val="00ED3E0D"/>
    <w:rsid w:val="00ED40BC"/>
    <w:rsid w:val="00ED4544"/>
    <w:rsid w:val="00ED46D7"/>
    <w:rsid w:val="00ED4793"/>
    <w:rsid w:val="00ED4924"/>
    <w:rsid w:val="00ED49E4"/>
    <w:rsid w:val="00ED4BDA"/>
    <w:rsid w:val="00ED522E"/>
    <w:rsid w:val="00ED52CC"/>
    <w:rsid w:val="00ED53BD"/>
    <w:rsid w:val="00ED55F1"/>
    <w:rsid w:val="00ED5874"/>
    <w:rsid w:val="00ED5C02"/>
    <w:rsid w:val="00ED5E8A"/>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340"/>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C92"/>
    <w:rsid w:val="00F07E8D"/>
    <w:rsid w:val="00F1019C"/>
    <w:rsid w:val="00F1020D"/>
    <w:rsid w:val="00F1046E"/>
    <w:rsid w:val="00F1049B"/>
    <w:rsid w:val="00F105C5"/>
    <w:rsid w:val="00F10C5E"/>
    <w:rsid w:val="00F10E6A"/>
    <w:rsid w:val="00F10F40"/>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05B"/>
    <w:rsid w:val="00F2081B"/>
    <w:rsid w:val="00F20986"/>
    <w:rsid w:val="00F20BCC"/>
    <w:rsid w:val="00F20C2B"/>
    <w:rsid w:val="00F20D98"/>
    <w:rsid w:val="00F2107A"/>
    <w:rsid w:val="00F21135"/>
    <w:rsid w:val="00F21220"/>
    <w:rsid w:val="00F21238"/>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B0D"/>
    <w:rsid w:val="00F33C85"/>
    <w:rsid w:val="00F341D4"/>
    <w:rsid w:val="00F34299"/>
    <w:rsid w:val="00F34391"/>
    <w:rsid w:val="00F34625"/>
    <w:rsid w:val="00F34684"/>
    <w:rsid w:val="00F34850"/>
    <w:rsid w:val="00F35031"/>
    <w:rsid w:val="00F350C2"/>
    <w:rsid w:val="00F350E8"/>
    <w:rsid w:val="00F35267"/>
    <w:rsid w:val="00F354C9"/>
    <w:rsid w:val="00F354CB"/>
    <w:rsid w:val="00F3552F"/>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A87"/>
    <w:rsid w:val="00F41C09"/>
    <w:rsid w:val="00F42471"/>
    <w:rsid w:val="00F42A98"/>
    <w:rsid w:val="00F42BB9"/>
    <w:rsid w:val="00F42BC0"/>
    <w:rsid w:val="00F42FFD"/>
    <w:rsid w:val="00F4312A"/>
    <w:rsid w:val="00F43388"/>
    <w:rsid w:val="00F433AB"/>
    <w:rsid w:val="00F43631"/>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7B"/>
    <w:rsid w:val="00F467A9"/>
    <w:rsid w:val="00F46B3C"/>
    <w:rsid w:val="00F46D6B"/>
    <w:rsid w:val="00F47280"/>
    <w:rsid w:val="00F4750A"/>
    <w:rsid w:val="00F475AF"/>
    <w:rsid w:val="00F476F6"/>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AEA"/>
    <w:rsid w:val="00F56C1D"/>
    <w:rsid w:val="00F56F54"/>
    <w:rsid w:val="00F571FD"/>
    <w:rsid w:val="00F577C7"/>
    <w:rsid w:val="00F57822"/>
    <w:rsid w:val="00F5783D"/>
    <w:rsid w:val="00F578FF"/>
    <w:rsid w:val="00F60135"/>
    <w:rsid w:val="00F601AF"/>
    <w:rsid w:val="00F60377"/>
    <w:rsid w:val="00F60548"/>
    <w:rsid w:val="00F60644"/>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15B"/>
    <w:rsid w:val="00F664E9"/>
    <w:rsid w:val="00F66597"/>
    <w:rsid w:val="00F665CE"/>
    <w:rsid w:val="00F66838"/>
    <w:rsid w:val="00F66D2F"/>
    <w:rsid w:val="00F66DC2"/>
    <w:rsid w:val="00F67110"/>
    <w:rsid w:val="00F671F0"/>
    <w:rsid w:val="00F67424"/>
    <w:rsid w:val="00F677E1"/>
    <w:rsid w:val="00F6780F"/>
    <w:rsid w:val="00F67977"/>
    <w:rsid w:val="00F67AE8"/>
    <w:rsid w:val="00F70494"/>
    <w:rsid w:val="00F708C2"/>
    <w:rsid w:val="00F70974"/>
    <w:rsid w:val="00F70B57"/>
    <w:rsid w:val="00F70D7E"/>
    <w:rsid w:val="00F70DC2"/>
    <w:rsid w:val="00F70DE7"/>
    <w:rsid w:val="00F71107"/>
    <w:rsid w:val="00F712DE"/>
    <w:rsid w:val="00F71477"/>
    <w:rsid w:val="00F7176F"/>
    <w:rsid w:val="00F7188E"/>
    <w:rsid w:val="00F71E06"/>
    <w:rsid w:val="00F72412"/>
    <w:rsid w:val="00F72646"/>
    <w:rsid w:val="00F72CD2"/>
    <w:rsid w:val="00F72D96"/>
    <w:rsid w:val="00F72DA5"/>
    <w:rsid w:val="00F72F5E"/>
    <w:rsid w:val="00F73310"/>
    <w:rsid w:val="00F734A5"/>
    <w:rsid w:val="00F7350D"/>
    <w:rsid w:val="00F738E0"/>
    <w:rsid w:val="00F739C8"/>
    <w:rsid w:val="00F73A04"/>
    <w:rsid w:val="00F7400E"/>
    <w:rsid w:val="00F74159"/>
    <w:rsid w:val="00F74551"/>
    <w:rsid w:val="00F747CD"/>
    <w:rsid w:val="00F7492C"/>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F26"/>
    <w:rsid w:val="00F80833"/>
    <w:rsid w:val="00F8104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2F6"/>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7B2"/>
    <w:rsid w:val="00F8698E"/>
    <w:rsid w:val="00F869BD"/>
    <w:rsid w:val="00F86AB1"/>
    <w:rsid w:val="00F86ACE"/>
    <w:rsid w:val="00F86BB2"/>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18C"/>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C6E"/>
    <w:rsid w:val="00F94D38"/>
    <w:rsid w:val="00F95391"/>
    <w:rsid w:val="00F953F7"/>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0F84"/>
    <w:rsid w:val="00FC108F"/>
    <w:rsid w:val="00FC10B4"/>
    <w:rsid w:val="00FC1191"/>
    <w:rsid w:val="00FC1614"/>
    <w:rsid w:val="00FC1696"/>
    <w:rsid w:val="00FC1B5C"/>
    <w:rsid w:val="00FC25EF"/>
    <w:rsid w:val="00FC2925"/>
    <w:rsid w:val="00FC29C1"/>
    <w:rsid w:val="00FC2CF0"/>
    <w:rsid w:val="00FC2E2E"/>
    <w:rsid w:val="00FC3323"/>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6030"/>
    <w:rsid w:val="00FC6884"/>
    <w:rsid w:val="00FC68DE"/>
    <w:rsid w:val="00FC6995"/>
    <w:rsid w:val="00FC6D68"/>
    <w:rsid w:val="00FC6EA9"/>
    <w:rsid w:val="00FC71E1"/>
    <w:rsid w:val="00FC7259"/>
    <w:rsid w:val="00FC73D0"/>
    <w:rsid w:val="00FC7471"/>
    <w:rsid w:val="00FC74CA"/>
    <w:rsid w:val="00FC775F"/>
    <w:rsid w:val="00FC7CA9"/>
    <w:rsid w:val="00FC7F44"/>
    <w:rsid w:val="00FD01C6"/>
    <w:rsid w:val="00FD02AD"/>
    <w:rsid w:val="00FD03F3"/>
    <w:rsid w:val="00FD0497"/>
    <w:rsid w:val="00FD0677"/>
    <w:rsid w:val="00FD074E"/>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9FC"/>
    <w:rsid w:val="00FD3C1B"/>
    <w:rsid w:val="00FD3FF9"/>
    <w:rsid w:val="00FD42A0"/>
    <w:rsid w:val="00FD4502"/>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86"/>
    <w:rsid w:val="00FE3499"/>
    <w:rsid w:val="00FE3A17"/>
    <w:rsid w:val="00FE3D73"/>
    <w:rsid w:val="00FE3D76"/>
    <w:rsid w:val="00FE3E47"/>
    <w:rsid w:val="00FE4041"/>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6640"/>
    <w:rsid w:val="00FE66AE"/>
    <w:rsid w:val="00FE6821"/>
    <w:rsid w:val="00FE69C5"/>
    <w:rsid w:val="00FE69CB"/>
    <w:rsid w:val="00FE6D50"/>
    <w:rsid w:val="00FE72B3"/>
    <w:rsid w:val="00FE74F3"/>
    <w:rsid w:val="00FE7865"/>
    <w:rsid w:val="00FE79E2"/>
    <w:rsid w:val="00FE7DF1"/>
    <w:rsid w:val="00FE7F6A"/>
    <w:rsid w:val="00FF021F"/>
    <w:rsid w:val="00FF0970"/>
    <w:rsid w:val="00FF0D29"/>
    <w:rsid w:val="00FF0D5D"/>
    <w:rsid w:val="00FF0DAF"/>
    <w:rsid w:val="00FF1296"/>
    <w:rsid w:val="00FF14F5"/>
    <w:rsid w:val="00FF1521"/>
    <w:rsid w:val="00FF1694"/>
    <w:rsid w:val="00FF16EC"/>
    <w:rsid w:val="00FF1C26"/>
    <w:rsid w:val="00FF1E81"/>
    <w:rsid w:val="00FF1ED1"/>
    <w:rsid w:val="00FF1FC0"/>
    <w:rsid w:val="00FF204A"/>
    <w:rsid w:val="00FF2083"/>
    <w:rsid w:val="00FF2131"/>
    <w:rsid w:val="00FF2308"/>
    <w:rsid w:val="00FF28CE"/>
    <w:rsid w:val="00FF2996"/>
    <w:rsid w:val="00FF2BDE"/>
    <w:rsid w:val="00FF2DDB"/>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8D1"/>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8244285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34286740">
      <w:bodyDiv w:val="1"/>
      <w:marLeft w:val="0"/>
      <w:marRight w:val="0"/>
      <w:marTop w:val="0"/>
      <w:marBottom w:val="0"/>
      <w:divBdr>
        <w:top w:val="none" w:sz="0" w:space="0" w:color="auto"/>
        <w:left w:val="none" w:sz="0" w:space="0" w:color="auto"/>
        <w:bottom w:val="none" w:sz="0" w:space="0" w:color="auto"/>
        <w:right w:val="none" w:sz="0" w:space="0" w:color="auto"/>
      </w:divBdr>
      <w:divsChild>
        <w:div w:id="1820074038">
          <w:marLeft w:val="0"/>
          <w:marRight w:val="0"/>
          <w:marTop w:val="0"/>
          <w:marBottom w:val="0"/>
          <w:divBdr>
            <w:top w:val="none" w:sz="0" w:space="0" w:color="auto"/>
            <w:left w:val="none" w:sz="0" w:space="0" w:color="auto"/>
            <w:bottom w:val="none" w:sz="0" w:space="0" w:color="auto"/>
            <w:right w:val="none" w:sz="0" w:space="0" w:color="auto"/>
          </w:divBdr>
          <w:divsChild>
            <w:div w:id="1667828709">
              <w:marLeft w:val="0"/>
              <w:marRight w:val="0"/>
              <w:marTop w:val="0"/>
              <w:marBottom w:val="0"/>
              <w:divBdr>
                <w:top w:val="none" w:sz="0" w:space="0" w:color="auto"/>
                <w:left w:val="none" w:sz="0" w:space="0" w:color="auto"/>
                <w:bottom w:val="none" w:sz="0" w:space="0" w:color="auto"/>
                <w:right w:val="none" w:sz="0" w:space="0" w:color="auto"/>
              </w:divBdr>
              <w:divsChild>
                <w:div w:id="471558437">
                  <w:marLeft w:val="0"/>
                  <w:marRight w:val="0"/>
                  <w:marTop w:val="0"/>
                  <w:marBottom w:val="0"/>
                  <w:divBdr>
                    <w:top w:val="none" w:sz="0" w:space="0" w:color="auto"/>
                    <w:left w:val="none" w:sz="0" w:space="0" w:color="auto"/>
                    <w:bottom w:val="none" w:sz="0" w:space="0" w:color="auto"/>
                    <w:right w:val="none" w:sz="0" w:space="0" w:color="auto"/>
                  </w:divBdr>
                </w:div>
              </w:divsChild>
            </w:div>
            <w:div w:id="1645507065">
              <w:marLeft w:val="0"/>
              <w:marRight w:val="0"/>
              <w:marTop w:val="0"/>
              <w:marBottom w:val="0"/>
              <w:divBdr>
                <w:top w:val="none" w:sz="0" w:space="0" w:color="auto"/>
                <w:left w:val="none" w:sz="0" w:space="0" w:color="auto"/>
                <w:bottom w:val="none" w:sz="0" w:space="0" w:color="auto"/>
                <w:right w:val="none" w:sz="0" w:space="0" w:color="auto"/>
              </w:divBdr>
              <w:divsChild>
                <w:div w:id="1520966694">
                  <w:marLeft w:val="0"/>
                  <w:marRight w:val="0"/>
                  <w:marTop w:val="0"/>
                  <w:marBottom w:val="0"/>
                  <w:divBdr>
                    <w:top w:val="none" w:sz="0" w:space="0" w:color="auto"/>
                    <w:left w:val="none" w:sz="0" w:space="0" w:color="auto"/>
                    <w:bottom w:val="none" w:sz="0" w:space="0" w:color="auto"/>
                    <w:right w:val="none" w:sz="0" w:space="0" w:color="auto"/>
                  </w:divBdr>
                </w:div>
              </w:divsChild>
            </w:div>
            <w:div w:id="512229719">
              <w:marLeft w:val="0"/>
              <w:marRight w:val="0"/>
              <w:marTop w:val="0"/>
              <w:marBottom w:val="0"/>
              <w:divBdr>
                <w:top w:val="none" w:sz="0" w:space="0" w:color="auto"/>
                <w:left w:val="none" w:sz="0" w:space="0" w:color="auto"/>
                <w:bottom w:val="none" w:sz="0" w:space="0" w:color="auto"/>
                <w:right w:val="none" w:sz="0" w:space="0" w:color="auto"/>
              </w:divBdr>
              <w:divsChild>
                <w:div w:id="271744710">
                  <w:marLeft w:val="0"/>
                  <w:marRight w:val="0"/>
                  <w:marTop w:val="0"/>
                  <w:marBottom w:val="0"/>
                  <w:divBdr>
                    <w:top w:val="none" w:sz="0" w:space="0" w:color="auto"/>
                    <w:left w:val="none" w:sz="0" w:space="0" w:color="auto"/>
                    <w:bottom w:val="none" w:sz="0" w:space="0" w:color="auto"/>
                    <w:right w:val="none" w:sz="0" w:space="0" w:color="auto"/>
                  </w:divBdr>
                </w:div>
              </w:divsChild>
            </w:div>
            <w:div w:id="1926111453">
              <w:marLeft w:val="0"/>
              <w:marRight w:val="0"/>
              <w:marTop w:val="0"/>
              <w:marBottom w:val="0"/>
              <w:divBdr>
                <w:top w:val="none" w:sz="0" w:space="0" w:color="auto"/>
                <w:left w:val="none" w:sz="0" w:space="0" w:color="auto"/>
                <w:bottom w:val="none" w:sz="0" w:space="0" w:color="auto"/>
                <w:right w:val="none" w:sz="0" w:space="0" w:color="auto"/>
              </w:divBdr>
              <w:divsChild>
                <w:div w:id="1983080144">
                  <w:marLeft w:val="0"/>
                  <w:marRight w:val="0"/>
                  <w:marTop w:val="0"/>
                  <w:marBottom w:val="0"/>
                  <w:divBdr>
                    <w:top w:val="none" w:sz="0" w:space="0" w:color="auto"/>
                    <w:left w:val="none" w:sz="0" w:space="0" w:color="auto"/>
                    <w:bottom w:val="none" w:sz="0" w:space="0" w:color="auto"/>
                    <w:right w:val="none" w:sz="0" w:space="0" w:color="auto"/>
                  </w:divBdr>
                </w:div>
              </w:divsChild>
            </w:div>
            <w:div w:id="238100730">
              <w:marLeft w:val="0"/>
              <w:marRight w:val="0"/>
              <w:marTop w:val="0"/>
              <w:marBottom w:val="0"/>
              <w:divBdr>
                <w:top w:val="none" w:sz="0" w:space="0" w:color="auto"/>
                <w:left w:val="none" w:sz="0" w:space="0" w:color="auto"/>
                <w:bottom w:val="none" w:sz="0" w:space="0" w:color="auto"/>
                <w:right w:val="none" w:sz="0" w:space="0" w:color="auto"/>
              </w:divBdr>
              <w:divsChild>
                <w:div w:id="1596330159">
                  <w:marLeft w:val="0"/>
                  <w:marRight w:val="0"/>
                  <w:marTop w:val="0"/>
                  <w:marBottom w:val="0"/>
                  <w:divBdr>
                    <w:top w:val="none" w:sz="0" w:space="0" w:color="auto"/>
                    <w:left w:val="none" w:sz="0" w:space="0" w:color="auto"/>
                    <w:bottom w:val="none" w:sz="0" w:space="0" w:color="auto"/>
                    <w:right w:val="none" w:sz="0" w:space="0" w:color="auto"/>
                  </w:divBdr>
                </w:div>
              </w:divsChild>
            </w:div>
            <w:div w:id="841704094">
              <w:marLeft w:val="0"/>
              <w:marRight w:val="0"/>
              <w:marTop w:val="0"/>
              <w:marBottom w:val="0"/>
              <w:divBdr>
                <w:top w:val="none" w:sz="0" w:space="0" w:color="auto"/>
                <w:left w:val="none" w:sz="0" w:space="0" w:color="auto"/>
                <w:bottom w:val="none" w:sz="0" w:space="0" w:color="auto"/>
                <w:right w:val="none" w:sz="0" w:space="0" w:color="auto"/>
              </w:divBdr>
              <w:divsChild>
                <w:div w:id="623389123">
                  <w:marLeft w:val="0"/>
                  <w:marRight w:val="0"/>
                  <w:marTop w:val="0"/>
                  <w:marBottom w:val="0"/>
                  <w:divBdr>
                    <w:top w:val="none" w:sz="0" w:space="0" w:color="auto"/>
                    <w:left w:val="none" w:sz="0" w:space="0" w:color="auto"/>
                    <w:bottom w:val="none" w:sz="0" w:space="0" w:color="auto"/>
                    <w:right w:val="none" w:sz="0" w:space="0" w:color="auto"/>
                  </w:divBdr>
                </w:div>
              </w:divsChild>
            </w:div>
            <w:div w:id="1820071721">
              <w:marLeft w:val="0"/>
              <w:marRight w:val="0"/>
              <w:marTop w:val="0"/>
              <w:marBottom w:val="0"/>
              <w:divBdr>
                <w:top w:val="none" w:sz="0" w:space="0" w:color="auto"/>
                <w:left w:val="none" w:sz="0" w:space="0" w:color="auto"/>
                <w:bottom w:val="none" w:sz="0" w:space="0" w:color="auto"/>
                <w:right w:val="none" w:sz="0" w:space="0" w:color="auto"/>
              </w:divBdr>
              <w:divsChild>
                <w:div w:id="1859928532">
                  <w:marLeft w:val="0"/>
                  <w:marRight w:val="0"/>
                  <w:marTop w:val="0"/>
                  <w:marBottom w:val="0"/>
                  <w:divBdr>
                    <w:top w:val="none" w:sz="0" w:space="0" w:color="auto"/>
                    <w:left w:val="none" w:sz="0" w:space="0" w:color="auto"/>
                    <w:bottom w:val="none" w:sz="0" w:space="0" w:color="auto"/>
                    <w:right w:val="none" w:sz="0" w:space="0" w:color="auto"/>
                  </w:divBdr>
                </w:div>
              </w:divsChild>
            </w:div>
            <w:div w:id="354311840">
              <w:marLeft w:val="0"/>
              <w:marRight w:val="0"/>
              <w:marTop w:val="0"/>
              <w:marBottom w:val="0"/>
              <w:divBdr>
                <w:top w:val="none" w:sz="0" w:space="0" w:color="auto"/>
                <w:left w:val="none" w:sz="0" w:space="0" w:color="auto"/>
                <w:bottom w:val="none" w:sz="0" w:space="0" w:color="auto"/>
                <w:right w:val="none" w:sz="0" w:space="0" w:color="auto"/>
              </w:divBdr>
              <w:divsChild>
                <w:div w:id="468548223">
                  <w:marLeft w:val="0"/>
                  <w:marRight w:val="0"/>
                  <w:marTop w:val="0"/>
                  <w:marBottom w:val="0"/>
                  <w:divBdr>
                    <w:top w:val="none" w:sz="0" w:space="0" w:color="auto"/>
                    <w:left w:val="none" w:sz="0" w:space="0" w:color="auto"/>
                    <w:bottom w:val="none" w:sz="0" w:space="0" w:color="auto"/>
                    <w:right w:val="none" w:sz="0" w:space="0" w:color="auto"/>
                  </w:divBdr>
                </w:div>
              </w:divsChild>
            </w:div>
            <w:div w:id="347294846">
              <w:marLeft w:val="0"/>
              <w:marRight w:val="0"/>
              <w:marTop w:val="0"/>
              <w:marBottom w:val="0"/>
              <w:divBdr>
                <w:top w:val="none" w:sz="0" w:space="0" w:color="auto"/>
                <w:left w:val="none" w:sz="0" w:space="0" w:color="auto"/>
                <w:bottom w:val="none" w:sz="0" w:space="0" w:color="auto"/>
                <w:right w:val="none" w:sz="0" w:space="0" w:color="auto"/>
              </w:divBdr>
              <w:divsChild>
                <w:div w:id="1296721337">
                  <w:marLeft w:val="0"/>
                  <w:marRight w:val="0"/>
                  <w:marTop w:val="0"/>
                  <w:marBottom w:val="0"/>
                  <w:divBdr>
                    <w:top w:val="none" w:sz="0" w:space="0" w:color="auto"/>
                    <w:left w:val="none" w:sz="0" w:space="0" w:color="auto"/>
                    <w:bottom w:val="none" w:sz="0" w:space="0" w:color="auto"/>
                    <w:right w:val="none" w:sz="0" w:space="0" w:color="auto"/>
                  </w:divBdr>
                </w:div>
              </w:divsChild>
            </w:div>
            <w:div w:id="304747388">
              <w:marLeft w:val="0"/>
              <w:marRight w:val="0"/>
              <w:marTop w:val="0"/>
              <w:marBottom w:val="0"/>
              <w:divBdr>
                <w:top w:val="none" w:sz="0" w:space="0" w:color="auto"/>
                <w:left w:val="none" w:sz="0" w:space="0" w:color="auto"/>
                <w:bottom w:val="none" w:sz="0" w:space="0" w:color="auto"/>
                <w:right w:val="none" w:sz="0" w:space="0" w:color="auto"/>
              </w:divBdr>
              <w:divsChild>
                <w:div w:id="538709507">
                  <w:marLeft w:val="0"/>
                  <w:marRight w:val="0"/>
                  <w:marTop w:val="0"/>
                  <w:marBottom w:val="0"/>
                  <w:divBdr>
                    <w:top w:val="none" w:sz="0" w:space="0" w:color="auto"/>
                    <w:left w:val="none" w:sz="0" w:space="0" w:color="auto"/>
                    <w:bottom w:val="none" w:sz="0" w:space="0" w:color="auto"/>
                    <w:right w:val="none" w:sz="0" w:space="0" w:color="auto"/>
                  </w:divBdr>
                </w:div>
              </w:divsChild>
            </w:div>
            <w:div w:id="994802176">
              <w:marLeft w:val="0"/>
              <w:marRight w:val="0"/>
              <w:marTop w:val="0"/>
              <w:marBottom w:val="0"/>
              <w:divBdr>
                <w:top w:val="none" w:sz="0" w:space="0" w:color="auto"/>
                <w:left w:val="none" w:sz="0" w:space="0" w:color="auto"/>
                <w:bottom w:val="none" w:sz="0" w:space="0" w:color="auto"/>
                <w:right w:val="none" w:sz="0" w:space="0" w:color="auto"/>
              </w:divBdr>
              <w:divsChild>
                <w:div w:id="2010910319">
                  <w:marLeft w:val="0"/>
                  <w:marRight w:val="0"/>
                  <w:marTop w:val="0"/>
                  <w:marBottom w:val="0"/>
                  <w:divBdr>
                    <w:top w:val="none" w:sz="0" w:space="0" w:color="auto"/>
                    <w:left w:val="none" w:sz="0" w:space="0" w:color="auto"/>
                    <w:bottom w:val="none" w:sz="0" w:space="0" w:color="auto"/>
                    <w:right w:val="none" w:sz="0" w:space="0" w:color="auto"/>
                  </w:divBdr>
                </w:div>
              </w:divsChild>
            </w:div>
            <w:div w:id="231544071">
              <w:marLeft w:val="0"/>
              <w:marRight w:val="0"/>
              <w:marTop w:val="0"/>
              <w:marBottom w:val="0"/>
              <w:divBdr>
                <w:top w:val="none" w:sz="0" w:space="0" w:color="auto"/>
                <w:left w:val="none" w:sz="0" w:space="0" w:color="auto"/>
                <w:bottom w:val="none" w:sz="0" w:space="0" w:color="auto"/>
                <w:right w:val="none" w:sz="0" w:space="0" w:color="auto"/>
              </w:divBdr>
              <w:divsChild>
                <w:div w:id="63570631">
                  <w:marLeft w:val="0"/>
                  <w:marRight w:val="0"/>
                  <w:marTop w:val="0"/>
                  <w:marBottom w:val="0"/>
                  <w:divBdr>
                    <w:top w:val="none" w:sz="0" w:space="0" w:color="auto"/>
                    <w:left w:val="none" w:sz="0" w:space="0" w:color="auto"/>
                    <w:bottom w:val="none" w:sz="0" w:space="0" w:color="auto"/>
                    <w:right w:val="none" w:sz="0" w:space="0" w:color="auto"/>
                  </w:divBdr>
                </w:div>
              </w:divsChild>
            </w:div>
            <w:div w:id="549389093">
              <w:marLeft w:val="0"/>
              <w:marRight w:val="0"/>
              <w:marTop w:val="0"/>
              <w:marBottom w:val="0"/>
              <w:divBdr>
                <w:top w:val="none" w:sz="0" w:space="0" w:color="auto"/>
                <w:left w:val="none" w:sz="0" w:space="0" w:color="auto"/>
                <w:bottom w:val="none" w:sz="0" w:space="0" w:color="auto"/>
                <w:right w:val="none" w:sz="0" w:space="0" w:color="auto"/>
              </w:divBdr>
              <w:divsChild>
                <w:div w:id="1146239868">
                  <w:marLeft w:val="0"/>
                  <w:marRight w:val="0"/>
                  <w:marTop w:val="0"/>
                  <w:marBottom w:val="0"/>
                  <w:divBdr>
                    <w:top w:val="none" w:sz="0" w:space="0" w:color="auto"/>
                    <w:left w:val="none" w:sz="0" w:space="0" w:color="auto"/>
                    <w:bottom w:val="none" w:sz="0" w:space="0" w:color="auto"/>
                    <w:right w:val="none" w:sz="0" w:space="0" w:color="auto"/>
                  </w:divBdr>
                </w:div>
              </w:divsChild>
            </w:div>
            <w:div w:id="971205329">
              <w:marLeft w:val="0"/>
              <w:marRight w:val="0"/>
              <w:marTop w:val="0"/>
              <w:marBottom w:val="0"/>
              <w:divBdr>
                <w:top w:val="none" w:sz="0" w:space="0" w:color="auto"/>
                <w:left w:val="none" w:sz="0" w:space="0" w:color="auto"/>
                <w:bottom w:val="none" w:sz="0" w:space="0" w:color="auto"/>
                <w:right w:val="none" w:sz="0" w:space="0" w:color="auto"/>
              </w:divBdr>
              <w:divsChild>
                <w:div w:id="974606600">
                  <w:marLeft w:val="0"/>
                  <w:marRight w:val="0"/>
                  <w:marTop w:val="0"/>
                  <w:marBottom w:val="0"/>
                  <w:divBdr>
                    <w:top w:val="none" w:sz="0" w:space="0" w:color="auto"/>
                    <w:left w:val="none" w:sz="0" w:space="0" w:color="auto"/>
                    <w:bottom w:val="none" w:sz="0" w:space="0" w:color="auto"/>
                    <w:right w:val="none" w:sz="0" w:space="0" w:color="auto"/>
                  </w:divBdr>
                </w:div>
              </w:divsChild>
            </w:div>
            <w:div w:id="753018269">
              <w:marLeft w:val="0"/>
              <w:marRight w:val="0"/>
              <w:marTop w:val="0"/>
              <w:marBottom w:val="0"/>
              <w:divBdr>
                <w:top w:val="none" w:sz="0" w:space="0" w:color="auto"/>
                <w:left w:val="none" w:sz="0" w:space="0" w:color="auto"/>
                <w:bottom w:val="none" w:sz="0" w:space="0" w:color="auto"/>
                <w:right w:val="none" w:sz="0" w:space="0" w:color="auto"/>
              </w:divBdr>
              <w:divsChild>
                <w:div w:id="1963030404">
                  <w:marLeft w:val="0"/>
                  <w:marRight w:val="0"/>
                  <w:marTop w:val="0"/>
                  <w:marBottom w:val="0"/>
                  <w:divBdr>
                    <w:top w:val="none" w:sz="0" w:space="0" w:color="auto"/>
                    <w:left w:val="none" w:sz="0" w:space="0" w:color="auto"/>
                    <w:bottom w:val="none" w:sz="0" w:space="0" w:color="auto"/>
                    <w:right w:val="none" w:sz="0" w:space="0" w:color="auto"/>
                  </w:divBdr>
                </w:div>
              </w:divsChild>
            </w:div>
            <w:div w:id="2066222471">
              <w:marLeft w:val="0"/>
              <w:marRight w:val="0"/>
              <w:marTop w:val="0"/>
              <w:marBottom w:val="0"/>
              <w:divBdr>
                <w:top w:val="none" w:sz="0" w:space="0" w:color="auto"/>
                <w:left w:val="none" w:sz="0" w:space="0" w:color="auto"/>
                <w:bottom w:val="none" w:sz="0" w:space="0" w:color="auto"/>
                <w:right w:val="none" w:sz="0" w:space="0" w:color="auto"/>
              </w:divBdr>
              <w:divsChild>
                <w:div w:id="395317903">
                  <w:marLeft w:val="0"/>
                  <w:marRight w:val="0"/>
                  <w:marTop w:val="0"/>
                  <w:marBottom w:val="0"/>
                  <w:divBdr>
                    <w:top w:val="none" w:sz="0" w:space="0" w:color="auto"/>
                    <w:left w:val="none" w:sz="0" w:space="0" w:color="auto"/>
                    <w:bottom w:val="none" w:sz="0" w:space="0" w:color="auto"/>
                    <w:right w:val="none" w:sz="0" w:space="0" w:color="auto"/>
                  </w:divBdr>
                </w:div>
              </w:divsChild>
            </w:div>
            <w:div w:id="118306361">
              <w:marLeft w:val="0"/>
              <w:marRight w:val="0"/>
              <w:marTop w:val="0"/>
              <w:marBottom w:val="0"/>
              <w:divBdr>
                <w:top w:val="none" w:sz="0" w:space="0" w:color="auto"/>
                <w:left w:val="none" w:sz="0" w:space="0" w:color="auto"/>
                <w:bottom w:val="none" w:sz="0" w:space="0" w:color="auto"/>
                <w:right w:val="none" w:sz="0" w:space="0" w:color="auto"/>
              </w:divBdr>
              <w:divsChild>
                <w:div w:id="163984304">
                  <w:marLeft w:val="0"/>
                  <w:marRight w:val="0"/>
                  <w:marTop w:val="0"/>
                  <w:marBottom w:val="0"/>
                  <w:divBdr>
                    <w:top w:val="none" w:sz="0" w:space="0" w:color="auto"/>
                    <w:left w:val="none" w:sz="0" w:space="0" w:color="auto"/>
                    <w:bottom w:val="none" w:sz="0" w:space="0" w:color="auto"/>
                    <w:right w:val="none" w:sz="0" w:space="0" w:color="auto"/>
                  </w:divBdr>
                </w:div>
              </w:divsChild>
            </w:div>
            <w:div w:id="1260674598">
              <w:marLeft w:val="0"/>
              <w:marRight w:val="0"/>
              <w:marTop w:val="0"/>
              <w:marBottom w:val="0"/>
              <w:divBdr>
                <w:top w:val="none" w:sz="0" w:space="0" w:color="auto"/>
                <w:left w:val="none" w:sz="0" w:space="0" w:color="auto"/>
                <w:bottom w:val="none" w:sz="0" w:space="0" w:color="auto"/>
                <w:right w:val="none" w:sz="0" w:space="0" w:color="auto"/>
              </w:divBdr>
              <w:divsChild>
                <w:div w:id="910235134">
                  <w:marLeft w:val="0"/>
                  <w:marRight w:val="0"/>
                  <w:marTop w:val="0"/>
                  <w:marBottom w:val="0"/>
                  <w:divBdr>
                    <w:top w:val="none" w:sz="0" w:space="0" w:color="auto"/>
                    <w:left w:val="none" w:sz="0" w:space="0" w:color="auto"/>
                    <w:bottom w:val="none" w:sz="0" w:space="0" w:color="auto"/>
                    <w:right w:val="none" w:sz="0" w:space="0" w:color="auto"/>
                  </w:divBdr>
                </w:div>
              </w:divsChild>
            </w:div>
            <w:div w:id="1659966692">
              <w:marLeft w:val="0"/>
              <w:marRight w:val="0"/>
              <w:marTop w:val="0"/>
              <w:marBottom w:val="0"/>
              <w:divBdr>
                <w:top w:val="none" w:sz="0" w:space="0" w:color="auto"/>
                <w:left w:val="none" w:sz="0" w:space="0" w:color="auto"/>
                <w:bottom w:val="none" w:sz="0" w:space="0" w:color="auto"/>
                <w:right w:val="none" w:sz="0" w:space="0" w:color="auto"/>
              </w:divBdr>
              <w:divsChild>
                <w:div w:id="1890796224">
                  <w:marLeft w:val="0"/>
                  <w:marRight w:val="0"/>
                  <w:marTop w:val="0"/>
                  <w:marBottom w:val="0"/>
                  <w:divBdr>
                    <w:top w:val="none" w:sz="0" w:space="0" w:color="auto"/>
                    <w:left w:val="none" w:sz="0" w:space="0" w:color="auto"/>
                    <w:bottom w:val="none" w:sz="0" w:space="0" w:color="auto"/>
                    <w:right w:val="none" w:sz="0" w:space="0" w:color="auto"/>
                  </w:divBdr>
                </w:div>
              </w:divsChild>
            </w:div>
            <w:div w:id="1233929120">
              <w:marLeft w:val="0"/>
              <w:marRight w:val="0"/>
              <w:marTop w:val="0"/>
              <w:marBottom w:val="0"/>
              <w:divBdr>
                <w:top w:val="none" w:sz="0" w:space="0" w:color="auto"/>
                <w:left w:val="none" w:sz="0" w:space="0" w:color="auto"/>
                <w:bottom w:val="none" w:sz="0" w:space="0" w:color="auto"/>
                <w:right w:val="none" w:sz="0" w:space="0" w:color="auto"/>
              </w:divBdr>
              <w:divsChild>
                <w:div w:id="209192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89101222">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8315851">
      <w:bodyDiv w:val="1"/>
      <w:marLeft w:val="0"/>
      <w:marRight w:val="0"/>
      <w:marTop w:val="0"/>
      <w:marBottom w:val="0"/>
      <w:divBdr>
        <w:top w:val="none" w:sz="0" w:space="0" w:color="auto"/>
        <w:left w:val="none" w:sz="0" w:space="0" w:color="auto"/>
        <w:bottom w:val="none" w:sz="0" w:space="0" w:color="auto"/>
        <w:right w:val="none" w:sz="0" w:space="0" w:color="auto"/>
      </w:divBdr>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4488279">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1095977">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8609058">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32284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2057131">
      <w:bodyDiv w:val="1"/>
      <w:marLeft w:val="0"/>
      <w:marRight w:val="0"/>
      <w:marTop w:val="0"/>
      <w:marBottom w:val="0"/>
      <w:divBdr>
        <w:top w:val="none" w:sz="0" w:space="0" w:color="auto"/>
        <w:left w:val="none" w:sz="0" w:space="0" w:color="auto"/>
        <w:bottom w:val="none" w:sz="0" w:space="0" w:color="auto"/>
        <w:right w:val="none" w:sz="0" w:space="0" w:color="auto"/>
      </w:divBdr>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54034249">
      <w:bodyDiv w:val="1"/>
      <w:marLeft w:val="0"/>
      <w:marRight w:val="0"/>
      <w:marTop w:val="0"/>
      <w:marBottom w:val="0"/>
      <w:divBdr>
        <w:top w:val="none" w:sz="0" w:space="0" w:color="auto"/>
        <w:left w:val="none" w:sz="0" w:space="0" w:color="auto"/>
        <w:bottom w:val="none" w:sz="0" w:space="0" w:color="auto"/>
        <w:right w:val="none" w:sz="0" w:space="0" w:color="auto"/>
      </w:divBdr>
      <w:divsChild>
        <w:div w:id="568151825">
          <w:marLeft w:val="0"/>
          <w:marRight w:val="0"/>
          <w:marTop w:val="0"/>
          <w:marBottom w:val="0"/>
          <w:divBdr>
            <w:top w:val="none" w:sz="0" w:space="0" w:color="auto"/>
            <w:left w:val="none" w:sz="0" w:space="0" w:color="auto"/>
            <w:bottom w:val="none" w:sz="0" w:space="0" w:color="auto"/>
            <w:right w:val="none" w:sz="0" w:space="0" w:color="auto"/>
          </w:divBdr>
          <w:divsChild>
            <w:div w:id="1201743305">
              <w:marLeft w:val="0"/>
              <w:marRight w:val="0"/>
              <w:marTop w:val="0"/>
              <w:marBottom w:val="0"/>
              <w:divBdr>
                <w:top w:val="none" w:sz="0" w:space="0" w:color="auto"/>
                <w:left w:val="none" w:sz="0" w:space="0" w:color="auto"/>
                <w:bottom w:val="none" w:sz="0" w:space="0" w:color="auto"/>
                <w:right w:val="none" w:sz="0" w:space="0" w:color="auto"/>
              </w:divBdr>
              <w:divsChild>
                <w:div w:id="970787262">
                  <w:marLeft w:val="0"/>
                  <w:marRight w:val="0"/>
                  <w:marTop w:val="0"/>
                  <w:marBottom w:val="0"/>
                  <w:divBdr>
                    <w:top w:val="none" w:sz="0" w:space="0" w:color="auto"/>
                    <w:left w:val="none" w:sz="0" w:space="0" w:color="auto"/>
                    <w:bottom w:val="none" w:sz="0" w:space="0" w:color="auto"/>
                    <w:right w:val="none" w:sz="0" w:space="0" w:color="auto"/>
                  </w:divBdr>
                </w:div>
              </w:divsChild>
            </w:div>
            <w:div w:id="1505894141">
              <w:marLeft w:val="0"/>
              <w:marRight w:val="0"/>
              <w:marTop w:val="0"/>
              <w:marBottom w:val="0"/>
              <w:divBdr>
                <w:top w:val="none" w:sz="0" w:space="0" w:color="auto"/>
                <w:left w:val="none" w:sz="0" w:space="0" w:color="auto"/>
                <w:bottom w:val="none" w:sz="0" w:space="0" w:color="auto"/>
                <w:right w:val="none" w:sz="0" w:space="0" w:color="auto"/>
              </w:divBdr>
              <w:divsChild>
                <w:div w:id="804394178">
                  <w:marLeft w:val="0"/>
                  <w:marRight w:val="0"/>
                  <w:marTop w:val="0"/>
                  <w:marBottom w:val="0"/>
                  <w:divBdr>
                    <w:top w:val="none" w:sz="0" w:space="0" w:color="auto"/>
                    <w:left w:val="none" w:sz="0" w:space="0" w:color="auto"/>
                    <w:bottom w:val="none" w:sz="0" w:space="0" w:color="auto"/>
                    <w:right w:val="none" w:sz="0" w:space="0" w:color="auto"/>
                  </w:divBdr>
                </w:div>
              </w:divsChild>
            </w:div>
            <w:div w:id="37319861">
              <w:marLeft w:val="0"/>
              <w:marRight w:val="0"/>
              <w:marTop w:val="0"/>
              <w:marBottom w:val="0"/>
              <w:divBdr>
                <w:top w:val="none" w:sz="0" w:space="0" w:color="auto"/>
                <w:left w:val="none" w:sz="0" w:space="0" w:color="auto"/>
                <w:bottom w:val="none" w:sz="0" w:space="0" w:color="auto"/>
                <w:right w:val="none" w:sz="0" w:space="0" w:color="auto"/>
              </w:divBdr>
              <w:divsChild>
                <w:div w:id="1883857600">
                  <w:marLeft w:val="0"/>
                  <w:marRight w:val="0"/>
                  <w:marTop w:val="0"/>
                  <w:marBottom w:val="0"/>
                  <w:divBdr>
                    <w:top w:val="none" w:sz="0" w:space="0" w:color="auto"/>
                    <w:left w:val="none" w:sz="0" w:space="0" w:color="auto"/>
                    <w:bottom w:val="none" w:sz="0" w:space="0" w:color="auto"/>
                    <w:right w:val="none" w:sz="0" w:space="0" w:color="auto"/>
                  </w:divBdr>
                </w:div>
              </w:divsChild>
            </w:div>
            <w:div w:id="1833714672">
              <w:marLeft w:val="0"/>
              <w:marRight w:val="0"/>
              <w:marTop w:val="0"/>
              <w:marBottom w:val="0"/>
              <w:divBdr>
                <w:top w:val="none" w:sz="0" w:space="0" w:color="auto"/>
                <w:left w:val="none" w:sz="0" w:space="0" w:color="auto"/>
                <w:bottom w:val="none" w:sz="0" w:space="0" w:color="auto"/>
                <w:right w:val="none" w:sz="0" w:space="0" w:color="auto"/>
              </w:divBdr>
              <w:divsChild>
                <w:div w:id="2091929375">
                  <w:marLeft w:val="0"/>
                  <w:marRight w:val="0"/>
                  <w:marTop w:val="0"/>
                  <w:marBottom w:val="0"/>
                  <w:divBdr>
                    <w:top w:val="none" w:sz="0" w:space="0" w:color="auto"/>
                    <w:left w:val="none" w:sz="0" w:space="0" w:color="auto"/>
                    <w:bottom w:val="none" w:sz="0" w:space="0" w:color="auto"/>
                    <w:right w:val="none" w:sz="0" w:space="0" w:color="auto"/>
                  </w:divBdr>
                </w:div>
              </w:divsChild>
            </w:div>
            <w:div w:id="1154224738">
              <w:marLeft w:val="0"/>
              <w:marRight w:val="0"/>
              <w:marTop w:val="0"/>
              <w:marBottom w:val="0"/>
              <w:divBdr>
                <w:top w:val="none" w:sz="0" w:space="0" w:color="auto"/>
                <w:left w:val="none" w:sz="0" w:space="0" w:color="auto"/>
                <w:bottom w:val="none" w:sz="0" w:space="0" w:color="auto"/>
                <w:right w:val="none" w:sz="0" w:space="0" w:color="auto"/>
              </w:divBdr>
              <w:divsChild>
                <w:div w:id="1542598244">
                  <w:marLeft w:val="0"/>
                  <w:marRight w:val="0"/>
                  <w:marTop w:val="0"/>
                  <w:marBottom w:val="0"/>
                  <w:divBdr>
                    <w:top w:val="none" w:sz="0" w:space="0" w:color="auto"/>
                    <w:left w:val="none" w:sz="0" w:space="0" w:color="auto"/>
                    <w:bottom w:val="none" w:sz="0" w:space="0" w:color="auto"/>
                    <w:right w:val="none" w:sz="0" w:space="0" w:color="auto"/>
                  </w:divBdr>
                </w:div>
              </w:divsChild>
            </w:div>
            <w:div w:id="1369255576">
              <w:marLeft w:val="0"/>
              <w:marRight w:val="0"/>
              <w:marTop w:val="0"/>
              <w:marBottom w:val="0"/>
              <w:divBdr>
                <w:top w:val="none" w:sz="0" w:space="0" w:color="auto"/>
                <w:left w:val="none" w:sz="0" w:space="0" w:color="auto"/>
                <w:bottom w:val="none" w:sz="0" w:space="0" w:color="auto"/>
                <w:right w:val="none" w:sz="0" w:space="0" w:color="auto"/>
              </w:divBdr>
              <w:divsChild>
                <w:div w:id="1201431988">
                  <w:marLeft w:val="0"/>
                  <w:marRight w:val="0"/>
                  <w:marTop w:val="0"/>
                  <w:marBottom w:val="0"/>
                  <w:divBdr>
                    <w:top w:val="none" w:sz="0" w:space="0" w:color="auto"/>
                    <w:left w:val="none" w:sz="0" w:space="0" w:color="auto"/>
                    <w:bottom w:val="none" w:sz="0" w:space="0" w:color="auto"/>
                    <w:right w:val="none" w:sz="0" w:space="0" w:color="auto"/>
                  </w:divBdr>
                </w:div>
              </w:divsChild>
            </w:div>
            <w:div w:id="632059680">
              <w:marLeft w:val="0"/>
              <w:marRight w:val="0"/>
              <w:marTop w:val="0"/>
              <w:marBottom w:val="0"/>
              <w:divBdr>
                <w:top w:val="none" w:sz="0" w:space="0" w:color="auto"/>
                <w:left w:val="none" w:sz="0" w:space="0" w:color="auto"/>
                <w:bottom w:val="none" w:sz="0" w:space="0" w:color="auto"/>
                <w:right w:val="none" w:sz="0" w:space="0" w:color="auto"/>
              </w:divBdr>
              <w:divsChild>
                <w:div w:id="242375584">
                  <w:marLeft w:val="0"/>
                  <w:marRight w:val="0"/>
                  <w:marTop w:val="0"/>
                  <w:marBottom w:val="0"/>
                  <w:divBdr>
                    <w:top w:val="none" w:sz="0" w:space="0" w:color="auto"/>
                    <w:left w:val="none" w:sz="0" w:space="0" w:color="auto"/>
                    <w:bottom w:val="none" w:sz="0" w:space="0" w:color="auto"/>
                    <w:right w:val="none" w:sz="0" w:space="0" w:color="auto"/>
                  </w:divBdr>
                </w:div>
              </w:divsChild>
            </w:div>
            <w:div w:id="1801604077">
              <w:marLeft w:val="0"/>
              <w:marRight w:val="0"/>
              <w:marTop w:val="0"/>
              <w:marBottom w:val="0"/>
              <w:divBdr>
                <w:top w:val="none" w:sz="0" w:space="0" w:color="auto"/>
                <w:left w:val="none" w:sz="0" w:space="0" w:color="auto"/>
                <w:bottom w:val="none" w:sz="0" w:space="0" w:color="auto"/>
                <w:right w:val="none" w:sz="0" w:space="0" w:color="auto"/>
              </w:divBdr>
              <w:divsChild>
                <w:div w:id="668215872">
                  <w:marLeft w:val="0"/>
                  <w:marRight w:val="0"/>
                  <w:marTop w:val="0"/>
                  <w:marBottom w:val="0"/>
                  <w:divBdr>
                    <w:top w:val="none" w:sz="0" w:space="0" w:color="auto"/>
                    <w:left w:val="none" w:sz="0" w:space="0" w:color="auto"/>
                    <w:bottom w:val="none" w:sz="0" w:space="0" w:color="auto"/>
                    <w:right w:val="none" w:sz="0" w:space="0" w:color="auto"/>
                  </w:divBdr>
                </w:div>
              </w:divsChild>
            </w:div>
            <w:div w:id="1278608034">
              <w:marLeft w:val="0"/>
              <w:marRight w:val="0"/>
              <w:marTop w:val="0"/>
              <w:marBottom w:val="0"/>
              <w:divBdr>
                <w:top w:val="none" w:sz="0" w:space="0" w:color="auto"/>
                <w:left w:val="none" w:sz="0" w:space="0" w:color="auto"/>
                <w:bottom w:val="none" w:sz="0" w:space="0" w:color="auto"/>
                <w:right w:val="none" w:sz="0" w:space="0" w:color="auto"/>
              </w:divBdr>
              <w:divsChild>
                <w:div w:id="1349873864">
                  <w:marLeft w:val="0"/>
                  <w:marRight w:val="0"/>
                  <w:marTop w:val="0"/>
                  <w:marBottom w:val="0"/>
                  <w:divBdr>
                    <w:top w:val="none" w:sz="0" w:space="0" w:color="auto"/>
                    <w:left w:val="none" w:sz="0" w:space="0" w:color="auto"/>
                    <w:bottom w:val="none" w:sz="0" w:space="0" w:color="auto"/>
                    <w:right w:val="none" w:sz="0" w:space="0" w:color="auto"/>
                  </w:divBdr>
                </w:div>
              </w:divsChild>
            </w:div>
            <w:div w:id="851459145">
              <w:marLeft w:val="0"/>
              <w:marRight w:val="0"/>
              <w:marTop w:val="0"/>
              <w:marBottom w:val="0"/>
              <w:divBdr>
                <w:top w:val="none" w:sz="0" w:space="0" w:color="auto"/>
                <w:left w:val="none" w:sz="0" w:space="0" w:color="auto"/>
                <w:bottom w:val="none" w:sz="0" w:space="0" w:color="auto"/>
                <w:right w:val="none" w:sz="0" w:space="0" w:color="auto"/>
              </w:divBdr>
              <w:divsChild>
                <w:div w:id="6955362">
                  <w:marLeft w:val="0"/>
                  <w:marRight w:val="0"/>
                  <w:marTop w:val="0"/>
                  <w:marBottom w:val="0"/>
                  <w:divBdr>
                    <w:top w:val="none" w:sz="0" w:space="0" w:color="auto"/>
                    <w:left w:val="none" w:sz="0" w:space="0" w:color="auto"/>
                    <w:bottom w:val="none" w:sz="0" w:space="0" w:color="auto"/>
                    <w:right w:val="none" w:sz="0" w:space="0" w:color="auto"/>
                  </w:divBdr>
                </w:div>
              </w:divsChild>
            </w:div>
            <w:div w:id="1947543955">
              <w:marLeft w:val="0"/>
              <w:marRight w:val="0"/>
              <w:marTop w:val="0"/>
              <w:marBottom w:val="0"/>
              <w:divBdr>
                <w:top w:val="none" w:sz="0" w:space="0" w:color="auto"/>
                <w:left w:val="none" w:sz="0" w:space="0" w:color="auto"/>
                <w:bottom w:val="none" w:sz="0" w:space="0" w:color="auto"/>
                <w:right w:val="none" w:sz="0" w:space="0" w:color="auto"/>
              </w:divBdr>
              <w:divsChild>
                <w:div w:id="1445223937">
                  <w:marLeft w:val="0"/>
                  <w:marRight w:val="0"/>
                  <w:marTop w:val="0"/>
                  <w:marBottom w:val="0"/>
                  <w:divBdr>
                    <w:top w:val="none" w:sz="0" w:space="0" w:color="auto"/>
                    <w:left w:val="none" w:sz="0" w:space="0" w:color="auto"/>
                    <w:bottom w:val="none" w:sz="0" w:space="0" w:color="auto"/>
                    <w:right w:val="none" w:sz="0" w:space="0" w:color="auto"/>
                  </w:divBdr>
                </w:div>
              </w:divsChild>
            </w:div>
            <w:div w:id="1210335139">
              <w:marLeft w:val="0"/>
              <w:marRight w:val="0"/>
              <w:marTop w:val="0"/>
              <w:marBottom w:val="0"/>
              <w:divBdr>
                <w:top w:val="none" w:sz="0" w:space="0" w:color="auto"/>
                <w:left w:val="none" w:sz="0" w:space="0" w:color="auto"/>
                <w:bottom w:val="none" w:sz="0" w:space="0" w:color="auto"/>
                <w:right w:val="none" w:sz="0" w:space="0" w:color="auto"/>
              </w:divBdr>
              <w:divsChild>
                <w:div w:id="196088738">
                  <w:marLeft w:val="0"/>
                  <w:marRight w:val="0"/>
                  <w:marTop w:val="0"/>
                  <w:marBottom w:val="0"/>
                  <w:divBdr>
                    <w:top w:val="none" w:sz="0" w:space="0" w:color="auto"/>
                    <w:left w:val="none" w:sz="0" w:space="0" w:color="auto"/>
                    <w:bottom w:val="none" w:sz="0" w:space="0" w:color="auto"/>
                    <w:right w:val="none" w:sz="0" w:space="0" w:color="auto"/>
                  </w:divBdr>
                </w:div>
              </w:divsChild>
            </w:div>
            <w:div w:id="816804870">
              <w:marLeft w:val="0"/>
              <w:marRight w:val="0"/>
              <w:marTop w:val="0"/>
              <w:marBottom w:val="0"/>
              <w:divBdr>
                <w:top w:val="none" w:sz="0" w:space="0" w:color="auto"/>
                <w:left w:val="none" w:sz="0" w:space="0" w:color="auto"/>
                <w:bottom w:val="none" w:sz="0" w:space="0" w:color="auto"/>
                <w:right w:val="none" w:sz="0" w:space="0" w:color="auto"/>
              </w:divBdr>
              <w:divsChild>
                <w:div w:id="2040398486">
                  <w:marLeft w:val="0"/>
                  <w:marRight w:val="0"/>
                  <w:marTop w:val="0"/>
                  <w:marBottom w:val="0"/>
                  <w:divBdr>
                    <w:top w:val="none" w:sz="0" w:space="0" w:color="auto"/>
                    <w:left w:val="none" w:sz="0" w:space="0" w:color="auto"/>
                    <w:bottom w:val="none" w:sz="0" w:space="0" w:color="auto"/>
                    <w:right w:val="none" w:sz="0" w:space="0" w:color="auto"/>
                  </w:divBdr>
                </w:div>
              </w:divsChild>
            </w:div>
            <w:div w:id="989988677">
              <w:marLeft w:val="0"/>
              <w:marRight w:val="0"/>
              <w:marTop w:val="0"/>
              <w:marBottom w:val="0"/>
              <w:divBdr>
                <w:top w:val="none" w:sz="0" w:space="0" w:color="auto"/>
                <w:left w:val="none" w:sz="0" w:space="0" w:color="auto"/>
                <w:bottom w:val="none" w:sz="0" w:space="0" w:color="auto"/>
                <w:right w:val="none" w:sz="0" w:space="0" w:color="auto"/>
              </w:divBdr>
              <w:divsChild>
                <w:div w:id="845558983">
                  <w:marLeft w:val="0"/>
                  <w:marRight w:val="0"/>
                  <w:marTop w:val="0"/>
                  <w:marBottom w:val="0"/>
                  <w:divBdr>
                    <w:top w:val="none" w:sz="0" w:space="0" w:color="auto"/>
                    <w:left w:val="none" w:sz="0" w:space="0" w:color="auto"/>
                    <w:bottom w:val="none" w:sz="0" w:space="0" w:color="auto"/>
                    <w:right w:val="none" w:sz="0" w:space="0" w:color="auto"/>
                  </w:divBdr>
                </w:div>
              </w:divsChild>
            </w:div>
            <w:div w:id="1993825159">
              <w:marLeft w:val="0"/>
              <w:marRight w:val="0"/>
              <w:marTop w:val="0"/>
              <w:marBottom w:val="0"/>
              <w:divBdr>
                <w:top w:val="none" w:sz="0" w:space="0" w:color="auto"/>
                <w:left w:val="none" w:sz="0" w:space="0" w:color="auto"/>
                <w:bottom w:val="none" w:sz="0" w:space="0" w:color="auto"/>
                <w:right w:val="none" w:sz="0" w:space="0" w:color="auto"/>
              </w:divBdr>
              <w:divsChild>
                <w:div w:id="1646930263">
                  <w:marLeft w:val="0"/>
                  <w:marRight w:val="0"/>
                  <w:marTop w:val="0"/>
                  <w:marBottom w:val="0"/>
                  <w:divBdr>
                    <w:top w:val="none" w:sz="0" w:space="0" w:color="auto"/>
                    <w:left w:val="none" w:sz="0" w:space="0" w:color="auto"/>
                    <w:bottom w:val="none" w:sz="0" w:space="0" w:color="auto"/>
                    <w:right w:val="none" w:sz="0" w:space="0" w:color="auto"/>
                  </w:divBdr>
                </w:div>
              </w:divsChild>
            </w:div>
            <w:div w:id="2037609159">
              <w:marLeft w:val="0"/>
              <w:marRight w:val="0"/>
              <w:marTop w:val="0"/>
              <w:marBottom w:val="0"/>
              <w:divBdr>
                <w:top w:val="none" w:sz="0" w:space="0" w:color="auto"/>
                <w:left w:val="none" w:sz="0" w:space="0" w:color="auto"/>
                <w:bottom w:val="none" w:sz="0" w:space="0" w:color="auto"/>
                <w:right w:val="none" w:sz="0" w:space="0" w:color="auto"/>
              </w:divBdr>
              <w:divsChild>
                <w:div w:id="1664504567">
                  <w:marLeft w:val="0"/>
                  <w:marRight w:val="0"/>
                  <w:marTop w:val="0"/>
                  <w:marBottom w:val="0"/>
                  <w:divBdr>
                    <w:top w:val="none" w:sz="0" w:space="0" w:color="auto"/>
                    <w:left w:val="none" w:sz="0" w:space="0" w:color="auto"/>
                    <w:bottom w:val="none" w:sz="0" w:space="0" w:color="auto"/>
                    <w:right w:val="none" w:sz="0" w:space="0" w:color="auto"/>
                  </w:divBdr>
                </w:div>
              </w:divsChild>
            </w:div>
            <w:div w:id="2113427812">
              <w:marLeft w:val="0"/>
              <w:marRight w:val="0"/>
              <w:marTop w:val="0"/>
              <w:marBottom w:val="0"/>
              <w:divBdr>
                <w:top w:val="none" w:sz="0" w:space="0" w:color="auto"/>
                <w:left w:val="none" w:sz="0" w:space="0" w:color="auto"/>
                <w:bottom w:val="none" w:sz="0" w:space="0" w:color="auto"/>
                <w:right w:val="none" w:sz="0" w:space="0" w:color="auto"/>
              </w:divBdr>
              <w:divsChild>
                <w:div w:id="1811895192">
                  <w:marLeft w:val="0"/>
                  <w:marRight w:val="0"/>
                  <w:marTop w:val="0"/>
                  <w:marBottom w:val="0"/>
                  <w:divBdr>
                    <w:top w:val="none" w:sz="0" w:space="0" w:color="auto"/>
                    <w:left w:val="none" w:sz="0" w:space="0" w:color="auto"/>
                    <w:bottom w:val="none" w:sz="0" w:space="0" w:color="auto"/>
                    <w:right w:val="none" w:sz="0" w:space="0" w:color="auto"/>
                  </w:divBdr>
                </w:div>
              </w:divsChild>
            </w:div>
            <w:div w:id="691342605">
              <w:marLeft w:val="0"/>
              <w:marRight w:val="0"/>
              <w:marTop w:val="0"/>
              <w:marBottom w:val="0"/>
              <w:divBdr>
                <w:top w:val="none" w:sz="0" w:space="0" w:color="auto"/>
                <w:left w:val="none" w:sz="0" w:space="0" w:color="auto"/>
                <w:bottom w:val="none" w:sz="0" w:space="0" w:color="auto"/>
                <w:right w:val="none" w:sz="0" w:space="0" w:color="auto"/>
              </w:divBdr>
              <w:divsChild>
                <w:div w:id="1799958365">
                  <w:marLeft w:val="0"/>
                  <w:marRight w:val="0"/>
                  <w:marTop w:val="0"/>
                  <w:marBottom w:val="0"/>
                  <w:divBdr>
                    <w:top w:val="none" w:sz="0" w:space="0" w:color="auto"/>
                    <w:left w:val="none" w:sz="0" w:space="0" w:color="auto"/>
                    <w:bottom w:val="none" w:sz="0" w:space="0" w:color="auto"/>
                    <w:right w:val="none" w:sz="0" w:space="0" w:color="auto"/>
                  </w:divBdr>
                </w:div>
              </w:divsChild>
            </w:div>
            <w:div w:id="521239793">
              <w:marLeft w:val="0"/>
              <w:marRight w:val="0"/>
              <w:marTop w:val="0"/>
              <w:marBottom w:val="0"/>
              <w:divBdr>
                <w:top w:val="none" w:sz="0" w:space="0" w:color="auto"/>
                <w:left w:val="none" w:sz="0" w:space="0" w:color="auto"/>
                <w:bottom w:val="none" w:sz="0" w:space="0" w:color="auto"/>
                <w:right w:val="none" w:sz="0" w:space="0" w:color="auto"/>
              </w:divBdr>
              <w:divsChild>
                <w:div w:id="1182285425">
                  <w:marLeft w:val="0"/>
                  <w:marRight w:val="0"/>
                  <w:marTop w:val="0"/>
                  <w:marBottom w:val="0"/>
                  <w:divBdr>
                    <w:top w:val="none" w:sz="0" w:space="0" w:color="auto"/>
                    <w:left w:val="none" w:sz="0" w:space="0" w:color="auto"/>
                    <w:bottom w:val="none" w:sz="0" w:space="0" w:color="auto"/>
                    <w:right w:val="none" w:sz="0" w:space="0" w:color="auto"/>
                  </w:divBdr>
                </w:div>
              </w:divsChild>
            </w:div>
            <w:div w:id="1041709426">
              <w:marLeft w:val="0"/>
              <w:marRight w:val="0"/>
              <w:marTop w:val="0"/>
              <w:marBottom w:val="0"/>
              <w:divBdr>
                <w:top w:val="none" w:sz="0" w:space="0" w:color="auto"/>
                <w:left w:val="none" w:sz="0" w:space="0" w:color="auto"/>
                <w:bottom w:val="none" w:sz="0" w:space="0" w:color="auto"/>
                <w:right w:val="none" w:sz="0" w:space="0" w:color="auto"/>
              </w:divBdr>
              <w:divsChild>
                <w:div w:id="113981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2262749">
      <w:bodyDiv w:val="1"/>
      <w:marLeft w:val="0"/>
      <w:marRight w:val="0"/>
      <w:marTop w:val="0"/>
      <w:marBottom w:val="0"/>
      <w:divBdr>
        <w:top w:val="none" w:sz="0" w:space="0" w:color="auto"/>
        <w:left w:val="none" w:sz="0" w:space="0" w:color="auto"/>
        <w:bottom w:val="none" w:sz="0" w:space="0" w:color="auto"/>
        <w:right w:val="none" w:sz="0" w:space="0" w:color="auto"/>
      </w:divBdr>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56838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22851</TotalTime>
  <Pages>3</Pages>
  <Words>1145</Words>
  <Characters>6273</Characters>
  <Application>Microsoft Office Word</Application>
  <DocSecurity>0</DocSecurity>
  <Lines>52</Lines>
  <Paragraphs>14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2864</cp:revision>
  <cp:lastPrinted>2009-04-22T21:01:00Z</cp:lastPrinted>
  <dcterms:created xsi:type="dcterms:W3CDTF">2020-11-11T22:16:00Z</dcterms:created>
  <dcterms:modified xsi:type="dcterms:W3CDTF">2025-08-15T22:23:00Z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